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Default="00193F10" w:rsidP="00194AA6">
      <w:pPr>
        <w:jc w:val="center"/>
        <w:rPr>
          <w:sz w:val="22"/>
          <w:szCs w:val="22"/>
        </w:rPr>
      </w:pPr>
    </w:p>
    <w:p w:rsidR="00527B35" w:rsidRPr="00194AA6" w:rsidRDefault="00527B35" w:rsidP="00194AA6">
      <w:pPr>
        <w:jc w:val="center"/>
        <w:rPr>
          <w:sz w:val="22"/>
          <w:szCs w:val="22"/>
        </w:rPr>
      </w:pPr>
    </w:p>
    <w:p w:rsidR="00193F10" w:rsidRDefault="003F14AE" w:rsidP="00194AA6">
      <w:pPr>
        <w:jc w:val="center"/>
      </w:pPr>
      <w:r>
        <w:rPr>
          <w:noProof/>
        </w:rPr>
        <w:drawing>
          <wp:inline distT="0" distB="0" distL="0" distR="0" wp14:anchorId="6E1D7C65">
            <wp:extent cx="1643742" cy="17011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876" cy="1715744"/>
                    </a:xfrm>
                    <a:prstGeom prst="rect">
                      <a:avLst/>
                    </a:prstGeom>
                    <a:noFill/>
                  </pic:spPr>
                </pic:pic>
              </a:graphicData>
            </a:graphic>
          </wp:inline>
        </w:drawing>
      </w:r>
    </w:p>
    <w:p w:rsidR="001771DC" w:rsidRPr="00194AA6" w:rsidRDefault="001771DC" w:rsidP="00194AA6">
      <w:pPr>
        <w:jc w:val="center"/>
        <w:rPr>
          <w:sz w:val="22"/>
          <w:szCs w:val="22"/>
        </w:rPr>
      </w:pPr>
    </w:p>
    <w:p w:rsidR="00193F10" w:rsidRPr="001923DF" w:rsidRDefault="00193F10" w:rsidP="003C5D7A">
      <w:pPr>
        <w:jc w:val="center"/>
        <w:rPr>
          <w:b/>
          <w:sz w:val="36"/>
          <w:szCs w:val="36"/>
        </w:rPr>
      </w:pPr>
      <w:r w:rsidRPr="001923DF">
        <w:rPr>
          <w:b/>
          <w:sz w:val="36"/>
          <w:szCs w:val="36"/>
        </w:rPr>
        <w:t>TECHNICAL EVALUATION</w:t>
      </w:r>
    </w:p>
    <w:p w:rsidR="00193F10" w:rsidRPr="001923DF" w:rsidRDefault="00193F10" w:rsidP="00194AA6">
      <w:pPr>
        <w:jc w:val="center"/>
        <w:rPr>
          <w:b/>
          <w:sz w:val="36"/>
          <w:szCs w:val="36"/>
        </w:rPr>
      </w:pPr>
      <w:r w:rsidRPr="001923DF">
        <w:rPr>
          <w:b/>
          <w:sz w:val="36"/>
          <w:szCs w:val="36"/>
        </w:rPr>
        <w:t>&amp;</w:t>
      </w:r>
    </w:p>
    <w:p w:rsidR="00193F10" w:rsidRPr="001923DF" w:rsidRDefault="00193F10" w:rsidP="00194AA6">
      <w:pPr>
        <w:jc w:val="center"/>
        <w:rPr>
          <w:b/>
          <w:sz w:val="36"/>
          <w:szCs w:val="36"/>
        </w:rPr>
      </w:pPr>
      <w:r w:rsidRPr="001923DF">
        <w:rPr>
          <w:b/>
          <w:sz w:val="36"/>
          <w:szCs w:val="36"/>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3C5D7A">
      <w:pPr>
        <w:spacing w:after="120"/>
        <w:jc w:val="center"/>
        <w:rPr>
          <w:bCs/>
          <w:szCs w:val="22"/>
        </w:rPr>
      </w:pPr>
      <w:r w:rsidRPr="003C5D7A">
        <w:rPr>
          <w:b/>
          <w:sz w:val="22"/>
          <w:szCs w:val="22"/>
        </w:rPr>
        <w:t>APPLICANT</w:t>
      </w:r>
    </w:p>
    <w:p w:rsidR="003F14AE" w:rsidRDefault="003F14AE" w:rsidP="003F14AE">
      <w:pPr>
        <w:widowControl w:val="0"/>
        <w:jc w:val="center"/>
        <w:rPr>
          <w:sz w:val="22"/>
          <w:szCs w:val="22"/>
        </w:rPr>
      </w:pPr>
      <w:r w:rsidRPr="00EA18BC">
        <w:rPr>
          <w:sz w:val="22"/>
          <w:szCs w:val="22"/>
        </w:rPr>
        <w:t>Waste Management Inc. of Florida</w:t>
      </w:r>
    </w:p>
    <w:p w:rsidR="003F14AE" w:rsidRPr="00EA18BC" w:rsidRDefault="003F14AE" w:rsidP="003F14AE">
      <w:pPr>
        <w:widowControl w:val="0"/>
        <w:jc w:val="center"/>
        <w:rPr>
          <w:sz w:val="22"/>
          <w:szCs w:val="22"/>
        </w:rPr>
      </w:pPr>
      <w:r w:rsidRPr="00EA18BC">
        <w:rPr>
          <w:sz w:val="22"/>
          <w:szCs w:val="22"/>
        </w:rPr>
        <w:t>2700 Wiles Road</w:t>
      </w:r>
    </w:p>
    <w:p w:rsidR="00194AA6" w:rsidRPr="00746205" w:rsidRDefault="003F14AE" w:rsidP="003F14AE">
      <w:pPr>
        <w:widowControl w:val="0"/>
        <w:jc w:val="center"/>
        <w:rPr>
          <w:sz w:val="22"/>
          <w:szCs w:val="22"/>
        </w:rPr>
      </w:pPr>
      <w:r w:rsidRPr="00EA18BC">
        <w:rPr>
          <w:sz w:val="22"/>
          <w:szCs w:val="22"/>
        </w:rPr>
        <w:t>Pompano Beach, Florida, 33073</w:t>
      </w:r>
    </w:p>
    <w:p w:rsidR="00194AA6" w:rsidRDefault="00194AA6" w:rsidP="00194AA6">
      <w:pPr>
        <w:widowControl w:val="0"/>
        <w:jc w:val="center"/>
        <w:rPr>
          <w:sz w:val="22"/>
          <w:szCs w:val="22"/>
          <w:highlight w:val="yellow"/>
        </w:rPr>
      </w:pPr>
    </w:p>
    <w:p w:rsidR="00194AA6" w:rsidRPr="00746205" w:rsidRDefault="003F14AE" w:rsidP="00194AA6">
      <w:pPr>
        <w:widowControl w:val="0"/>
        <w:jc w:val="center"/>
        <w:rPr>
          <w:sz w:val="22"/>
          <w:szCs w:val="22"/>
        </w:rPr>
      </w:pPr>
      <w:r>
        <w:rPr>
          <w:sz w:val="22"/>
          <w:szCs w:val="22"/>
        </w:rPr>
        <w:t>Monarch Hill Landfill</w:t>
      </w:r>
    </w:p>
    <w:p w:rsidR="00194AA6" w:rsidRDefault="00194AA6" w:rsidP="00194AA6">
      <w:pPr>
        <w:widowControl w:val="0"/>
        <w:jc w:val="center"/>
        <w:rPr>
          <w:sz w:val="22"/>
          <w:szCs w:val="22"/>
        </w:rPr>
      </w:pPr>
      <w:r w:rsidRPr="00746205">
        <w:rPr>
          <w:sz w:val="22"/>
          <w:szCs w:val="22"/>
        </w:rPr>
        <w:t xml:space="preserve">Facility ID No. </w:t>
      </w:r>
      <w:r w:rsidR="003F14AE">
        <w:rPr>
          <w:sz w:val="22"/>
          <w:szCs w:val="22"/>
        </w:rPr>
        <w:t>0112094</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3C5D7A">
      <w:pPr>
        <w:spacing w:after="120"/>
        <w:jc w:val="center"/>
        <w:rPr>
          <w:bCs/>
        </w:rPr>
      </w:pPr>
      <w:r w:rsidRPr="003C5D7A">
        <w:rPr>
          <w:b/>
          <w:sz w:val="22"/>
          <w:szCs w:val="22"/>
        </w:rPr>
        <w:t>PROJECT</w:t>
      </w:r>
    </w:p>
    <w:p w:rsidR="00193F10" w:rsidRDefault="00193F10" w:rsidP="003C5D7A">
      <w:pPr>
        <w:jc w:val="center"/>
        <w:rPr>
          <w:sz w:val="22"/>
        </w:rPr>
      </w:pPr>
      <w:r>
        <w:rPr>
          <w:sz w:val="22"/>
        </w:rPr>
        <w:t>P</w:t>
      </w:r>
      <w:r w:rsidR="00194AA6">
        <w:rPr>
          <w:sz w:val="22"/>
        </w:rPr>
        <w:t>roject</w:t>
      </w:r>
      <w:r>
        <w:rPr>
          <w:sz w:val="22"/>
        </w:rPr>
        <w:t xml:space="preserve"> No. </w:t>
      </w:r>
      <w:r w:rsidR="003F14AE">
        <w:rPr>
          <w:sz w:val="22"/>
        </w:rPr>
        <w:t>0112094-014-AC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AA19F4" w:rsidP="00194AA6">
      <w:pPr>
        <w:jc w:val="center"/>
        <w:rPr>
          <w:sz w:val="22"/>
        </w:rPr>
      </w:pPr>
      <w:r>
        <w:rPr>
          <w:sz w:val="22"/>
        </w:rPr>
        <w:t>New Flare and Sulfur</w:t>
      </w:r>
      <w:r w:rsidR="006F34DA">
        <w:rPr>
          <w:sz w:val="22"/>
        </w:rPr>
        <w:t xml:space="preserve"> Treatment System</w:t>
      </w:r>
    </w:p>
    <w:p w:rsidR="00193F10" w:rsidRDefault="00193F10" w:rsidP="00194AA6">
      <w:pPr>
        <w:jc w:val="center"/>
        <w:rPr>
          <w:sz w:val="22"/>
        </w:rPr>
      </w:pPr>
    </w:p>
    <w:p w:rsidR="00193F10" w:rsidRDefault="00193F10" w:rsidP="00194AA6">
      <w:pPr>
        <w:jc w:val="center"/>
        <w:rPr>
          <w:sz w:val="22"/>
        </w:rPr>
      </w:pPr>
    </w:p>
    <w:p w:rsidR="00193F10" w:rsidRDefault="00193F10" w:rsidP="003C5D7A">
      <w:pPr>
        <w:spacing w:after="120"/>
        <w:jc w:val="center"/>
        <w:rPr>
          <w:bCs/>
        </w:rPr>
      </w:pPr>
      <w:r w:rsidRPr="003C5D7A">
        <w:rPr>
          <w:b/>
          <w:sz w:val="22"/>
          <w:szCs w:val="22"/>
        </w:rPr>
        <w:t>COUNTY</w:t>
      </w:r>
    </w:p>
    <w:p w:rsidR="00193F10" w:rsidRPr="001D487F" w:rsidRDefault="006F34DA" w:rsidP="00194AA6">
      <w:pPr>
        <w:jc w:val="center"/>
        <w:rPr>
          <w:sz w:val="22"/>
        </w:rPr>
      </w:pPr>
      <w:r>
        <w:rPr>
          <w:sz w:val="22"/>
        </w:rPr>
        <w:t>Broward</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Pr="003C5D7A" w:rsidRDefault="00193F10" w:rsidP="003C5D7A">
      <w:pPr>
        <w:spacing w:after="120"/>
        <w:jc w:val="center"/>
        <w:rPr>
          <w:b/>
          <w:sz w:val="22"/>
          <w:szCs w:val="22"/>
        </w:rPr>
      </w:pPr>
      <w:r w:rsidRPr="003C5D7A">
        <w:rPr>
          <w:b/>
          <w:sz w:val="22"/>
          <w:szCs w:val="22"/>
        </w:rPr>
        <w:t>PERMITTING</w:t>
      </w:r>
      <w:r w:rsidR="001D487F" w:rsidRPr="003C5D7A">
        <w:rPr>
          <w:b/>
          <w:sz w:val="22"/>
          <w:szCs w:val="22"/>
        </w:rPr>
        <w:t xml:space="preserve"> </w:t>
      </w:r>
      <w:r w:rsidRPr="003C5D7A">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w:t>
      </w:r>
      <w:r w:rsidR="00FF52D5">
        <w:rPr>
          <w:sz w:val="22"/>
          <w:szCs w:val="22"/>
        </w:rPr>
        <w:t xml:space="preserve"> S</w:t>
      </w:r>
      <w:r>
        <w:rPr>
          <w:sz w:val="22"/>
          <w:szCs w:val="22"/>
        </w:rPr>
        <w:t>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proofErr w:type="gramStart"/>
        <w:r>
          <w:rPr>
            <w:sz w:val="22"/>
            <w:szCs w:val="22"/>
          </w:rPr>
          <w:t xml:space="preserve">Florida  </w:t>
        </w:r>
        <w:smartTag w:uri="urn:schemas-microsoft-com:office:smarttags" w:element="PostalCode">
          <w:r>
            <w:rPr>
              <w:sz w:val="22"/>
              <w:szCs w:val="22"/>
            </w:rPr>
            <w:t>32399</w:t>
          </w:r>
          <w:proofErr w:type="gramEnd"/>
          <w:r>
            <w:rPr>
              <w:sz w:val="22"/>
              <w:szCs w:val="22"/>
            </w:rPr>
            <w:t>-2400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1923DF" w:rsidP="00194AA6">
      <w:pPr>
        <w:jc w:val="center"/>
        <w:rPr>
          <w:sz w:val="22"/>
        </w:rPr>
      </w:pPr>
      <w:r>
        <w:rPr>
          <w:sz w:val="22"/>
        </w:rPr>
        <w:t>August 2, 2018</w:t>
      </w: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1923DF" w:rsidRDefault="00193F10" w:rsidP="001923DF">
      <w:pPr>
        <w:pStyle w:val="ListParagraph"/>
        <w:numPr>
          <w:ilvl w:val="0"/>
          <w:numId w:val="6"/>
        </w:numPr>
        <w:spacing w:after="120"/>
        <w:ind w:left="720" w:hanging="720"/>
        <w:contextualSpacing w:val="0"/>
        <w:rPr>
          <w:b/>
          <w:caps/>
          <w:sz w:val="22"/>
          <w:szCs w:val="22"/>
        </w:rPr>
      </w:pPr>
      <w:r w:rsidRPr="001923DF">
        <w:rPr>
          <w:b/>
          <w:caps/>
          <w:sz w:val="22"/>
          <w:szCs w:val="22"/>
        </w:rPr>
        <w:lastRenderedPageBreak/>
        <w:t>General Project INFORMATION</w:t>
      </w:r>
    </w:p>
    <w:p w:rsidR="00EE6112" w:rsidRPr="001923DF" w:rsidRDefault="00EE6112" w:rsidP="001923DF">
      <w:pPr>
        <w:pStyle w:val="ListParagraph"/>
        <w:numPr>
          <w:ilvl w:val="1"/>
          <w:numId w:val="6"/>
        </w:numPr>
        <w:spacing w:after="120"/>
        <w:ind w:left="720" w:hanging="720"/>
        <w:contextualSpacing w:val="0"/>
        <w:rPr>
          <w:b/>
          <w:caps/>
          <w:sz w:val="22"/>
          <w:szCs w:val="22"/>
        </w:rPr>
      </w:pPr>
      <w:r w:rsidRPr="001923DF">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1923DF" w:rsidRDefault="00D262B1" w:rsidP="001923DF">
      <w:pPr>
        <w:pStyle w:val="ListParagraph"/>
        <w:numPr>
          <w:ilvl w:val="1"/>
          <w:numId w:val="6"/>
        </w:numPr>
        <w:spacing w:after="120"/>
        <w:ind w:left="720" w:hanging="720"/>
        <w:contextualSpacing w:val="0"/>
        <w:rPr>
          <w:b/>
          <w:bCs/>
          <w:sz w:val="22"/>
          <w:szCs w:val="22"/>
        </w:rPr>
      </w:pPr>
      <w:r w:rsidRPr="001923DF">
        <w:rPr>
          <w:b/>
          <w:bCs/>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1923DF" w:rsidRDefault="00193F10" w:rsidP="001923DF">
      <w:pPr>
        <w:pStyle w:val="ListParagraph"/>
        <w:numPr>
          <w:ilvl w:val="1"/>
          <w:numId w:val="6"/>
        </w:numPr>
        <w:spacing w:after="120"/>
        <w:ind w:left="720" w:hanging="720"/>
        <w:contextualSpacing w:val="0"/>
        <w:rPr>
          <w:b/>
          <w:bCs/>
          <w:sz w:val="22"/>
          <w:szCs w:val="22"/>
        </w:rPr>
      </w:pPr>
      <w:r w:rsidRPr="001923DF">
        <w:rPr>
          <w:b/>
          <w:bCs/>
          <w:sz w:val="22"/>
          <w:szCs w:val="22"/>
        </w:rPr>
        <w:t>Facility Description and Location</w:t>
      </w:r>
    </w:p>
    <w:p w:rsidR="006F34DA" w:rsidRDefault="006F34DA" w:rsidP="006F34DA">
      <w:pPr>
        <w:pStyle w:val="BodyText3"/>
        <w:numPr>
          <w:ilvl w:val="12"/>
          <w:numId w:val="0"/>
        </w:numPr>
        <w:spacing w:before="0"/>
      </w:pPr>
      <w:r>
        <w:t xml:space="preserve">Monarch Hill </w:t>
      </w:r>
      <w:r w:rsidRPr="00C04E1B">
        <w:t xml:space="preserve">Landfill is an existing </w:t>
      </w:r>
      <w:r>
        <w:rPr>
          <w:szCs w:val="22"/>
        </w:rPr>
        <w:t>M</w:t>
      </w:r>
      <w:r w:rsidRPr="00C04E1B">
        <w:rPr>
          <w:szCs w:val="22"/>
        </w:rPr>
        <w:t>unicipal</w:t>
      </w:r>
      <w:r w:rsidRPr="009C218C">
        <w:rPr>
          <w:szCs w:val="22"/>
        </w:rPr>
        <w:t xml:space="preserve"> </w:t>
      </w:r>
      <w:r>
        <w:rPr>
          <w:szCs w:val="22"/>
        </w:rPr>
        <w:t>S</w:t>
      </w:r>
      <w:r w:rsidRPr="009C218C">
        <w:rPr>
          <w:szCs w:val="22"/>
        </w:rPr>
        <w:t xml:space="preserve">olid </w:t>
      </w:r>
      <w:r>
        <w:rPr>
          <w:szCs w:val="22"/>
        </w:rPr>
        <w:t>W</w:t>
      </w:r>
      <w:r w:rsidRPr="009C218C">
        <w:rPr>
          <w:szCs w:val="22"/>
        </w:rPr>
        <w:t>aste</w:t>
      </w:r>
      <w:r>
        <w:rPr>
          <w:szCs w:val="22"/>
        </w:rPr>
        <w:t xml:space="preserve"> (MSW)</w:t>
      </w:r>
      <w:r w:rsidRPr="009C218C">
        <w:rPr>
          <w:szCs w:val="22"/>
        </w:rPr>
        <w:t xml:space="preserve"> landfill</w:t>
      </w:r>
      <w:r w:rsidRPr="009C218C">
        <w:t xml:space="preserve">, which is categorized under </w:t>
      </w:r>
      <w:r w:rsidRPr="009C218C">
        <w:rPr>
          <w:bCs/>
        </w:rPr>
        <w:t>Standard Industrial Classification Code No. 4953</w:t>
      </w:r>
      <w:r w:rsidRPr="001C4E37">
        <w:rPr>
          <w:bCs/>
        </w:rPr>
        <w:t>.</w:t>
      </w:r>
      <w:r>
        <w:rPr>
          <w:bCs/>
        </w:rPr>
        <w:t xml:space="preserve"> </w:t>
      </w:r>
      <w:r>
        <w:t xml:space="preserve"> T</w:t>
      </w:r>
      <w:r w:rsidRPr="004357DC">
        <w:rPr>
          <w:szCs w:val="22"/>
        </w:rPr>
        <w:t xml:space="preserve">he </w:t>
      </w:r>
      <w:r w:rsidRPr="00203C85">
        <w:rPr>
          <w:szCs w:val="22"/>
        </w:rPr>
        <w:t>existing Monarch Hill landfill is in Broward County</w:t>
      </w:r>
      <w:r>
        <w:rPr>
          <w:szCs w:val="22"/>
        </w:rPr>
        <w:t xml:space="preserve"> (see </w:t>
      </w:r>
      <w:r w:rsidRPr="00E971C4">
        <w:rPr>
          <w:szCs w:val="22"/>
        </w:rPr>
        <w:fldChar w:fldCharType="begin"/>
      </w:r>
      <w:r w:rsidRPr="00E971C4">
        <w:rPr>
          <w:szCs w:val="22"/>
        </w:rPr>
        <w:instrText xml:space="preserve"> REF _Ref470183765 \h  \* MERGEFORMAT </w:instrText>
      </w:r>
      <w:r w:rsidRPr="00E971C4">
        <w:rPr>
          <w:szCs w:val="22"/>
        </w:rPr>
      </w:r>
      <w:r w:rsidRPr="00E971C4">
        <w:rPr>
          <w:szCs w:val="22"/>
        </w:rPr>
        <w:fldChar w:fldCharType="separate"/>
      </w:r>
      <w:r w:rsidRPr="00D813BC">
        <w:rPr>
          <w:b/>
          <w:szCs w:val="22"/>
        </w:rPr>
        <w:t xml:space="preserve">Figure </w:t>
      </w:r>
      <w:r w:rsidRPr="0031022E">
        <w:rPr>
          <w:b/>
          <w:noProof/>
          <w:szCs w:val="22"/>
        </w:rPr>
        <w:t>1</w:t>
      </w:r>
      <w:r w:rsidRPr="00E971C4">
        <w:rPr>
          <w:szCs w:val="22"/>
        </w:rPr>
        <w:fldChar w:fldCharType="end"/>
      </w:r>
      <w:r>
        <w:rPr>
          <w:szCs w:val="22"/>
        </w:rPr>
        <w:t>)</w:t>
      </w:r>
      <w:r w:rsidRPr="00203C85">
        <w:rPr>
          <w:szCs w:val="22"/>
        </w:rPr>
        <w:t xml:space="preserve"> at 2700 Wiles Road in Pompano Beach, Florida</w:t>
      </w:r>
      <w:r>
        <w:rPr>
          <w:szCs w:val="22"/>
        </w:rPr>
        <w:t xml:space="preserve"> (see </w:t>
      </w:r>
      <w:r w:rsidRPr="00E971C4">
        <w:rPr>
          <w:szCs w:val="22"/>
        </w:rPr>
        <w:fldChar w:fldCharType="begin"/>
      </w:r>
      <w:r w:rsidRPr="00E971C4">
        <w:rPr>
          <w:szCs w:val="22"/>
        </w:rPr>
        <w:instrText xml:space="preserve"> REF _Ref470183822 \h  \* MERGEFORMAT </w:instrText>
      </w:r>
      <w:r w:rsidRPr="00E971C4">
        <w:rPr>
          <w:szCs w:val="22"/>
        </w:rPr>
      </w:r>
      <w:r w:rsidRPr="00E971C4">
        <w:rPr>
          <w:szCs w:val="22"/>
        </w:rPr>
        <w:fldChar w:fldCharType="separate"/>
      </w:r>
      <w:r w:rsidRPr="00D813BC">
        <w:rPr>
          <w:b/>
          <w:szCs w:val="22"/>
        </w:rPr>
        <w:t xml:space="preserve">Figure </w:t>
      </w:r>
      <w:r w:rsidRPr="0031022E">
        <w:rPr>
          <w:b/>
          <w:noProof/>
          <w:szCs w:val="22"/>
        </w:rPr>
        <w:t>2</w:t>
      </w:r>
      <w:r w:rsidRPr="00E971C4">
        <w:rPr>
          <w:szCs w:val="22"/>
        </w:rPr>
        <w:fldChar w:fldCharType="end"/>
      </w:r>
      <w:r>
        <w:rPr>
          <w:szCs w:val="22"/>
        </w:rPr>
        <w:t>)</w:t>
      </w:r>
      <w:r>
        <w:t xml:space="preserve">.  A satellite view of the facility is provided in </w:t>
      </w:r>
      <w:r>
        <w:fldChar w:fldCharType="begin"/>
      </w:r>
      <w:r>
        <w:instrText xml:space="preserve"> REF _Ref471800705 \h </w:instrText>
      </w:r>
      <w:r>
        <w:fldChar w:fldCharType="separate"/>
      </w:r>
      <w:r w:rsidRPr="005D5F4B">
        <w:rPr>
          <w:b/>
          <w:szCs w:val="22"/>
        </w:rPr>
        <w:t xml:space="preserve">Figure </w:t>
      </w:r>
      <w:r>
        <w:rPr>
          <w:b/>
          <w:noProof/>
          <w:szCs w:val="22"/>
        </w:rPr>
        <w:t>3</w:t>
      </w:r>
      <w:r>
        <w:fldChar w:fldCharType="end"/>
      </w:r>
      <w:r>
        <w:t xml:space="preserve">.  </w:t>
      </w:r>
      <w:r w:rsidRPr="001C4E37">
        <w:t>Th</w:t>
      </w:r>
      <w:r>
        <w:t xml:space="preserve">e UTM coordinates of the </w:t>
      </w:r>
      <w:r w:rsidRPr="00203C85">
        <w:t>existing</w:t>
      </w:r>
      <w:r>
        <w:t xml:space="preserve"> facility are Zone 17</w:t>
      </w:r>
      <w:r w:rsidRPr="001D487F">
        <w:t xml:space="preserve">, </w:t>
      </w:r>
      <w:r>
        <w:t xml:space="preserve">583.19 kilometers (km) East, and 2908.03 km North.  This site is in an area that is in attainment (or designated as unclassifiable) for all air pollutants subject to Ambient Air Quality Standards (AAQS).  Broward </w:t>
      </w:r>
      <w:r w:rsidRPr="00573D3A">
        <w:t>County is designated as an as air quality maintenance area for ozone in accordance with Rule 62-204.340, F.A.C.</w:t>
      </w:r>
    </w:p>
    <w:p w:rsidR="006F34DA" w:rsidRDefault="006F34DA" w:rsidP="006F34DA">
      <w:pPr>
        <w:pStyle w:val="BodyText3"/>
        <w:numPr>
          <w:ilvl w:val="12"/>
          <w:numId w:val="0"/>
        </w:numPr>
        <w:spacing w:before="0" w:after="60"/>
      </w:pPr>
      <w:r>
        <w:rPr>
          <w:noProof/>
        </w:rPr>
        <mc:AlternateContent>
          <mc:Choice Requires="wps">
            <w:drawing>
              <wp:anchor distT="0" distB="0" distL="114300" distR="114300" simplePos="0" relativeHeight="251661312" behindDoc="0" locked="0" layoutInCell="1" allowOverlap="1" wp14:anchorId="498F8FAA" wp14:editId="23874F71">
                <wp:simplePos x="0" y="0"/>
                <wp:positionH relativeFrom="column">
                  <wp:posOffset>1247775</wp:posOffset>
                </wp:positionH>
                <wp:positionV relativeFrom="paragraph">
                  <wp:posOffset>2128519</wp:posOffset>
                </wp:positionV>
                <wp:extent cx="1276350" cy="314325"/>
                <wp:effectExtent l="0" t="57150" r="0" b="28575"/>
                <wp:wrapNone/>
                <wp:docPr id="7" name="Straight Arrow Connector 7"/>
                <wp:cNvGraphicFramePr/>
                <a:graphic xmlns:a="http://schemas.openxmlformats.org/drawingml/2006/main">
                  <a:graphicData uri="http://schemas.microsoft.com/office/word/2010/wordprocessingShape">
                    <wps:wsp>
                      <wps:cNvCnPr/>
                      <wps:spPr>
                        <a:xfrm flipV="1">
                          <a:off x="0" y="0"/>
                          <a:ext cx="1276350" cy="314325"/>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C0B4BB" id="_x0000_t32" coordsize="21600,21600" o:spt="32" o:oned="t" path="m,l21600,21600e" filled="f">
                <v:path arrowok="t" fillok="f" o:connecttype="none"/>
                <o:lock v:ext="edit" shapetype="t"/>
              </v:shapetype>
              <v:shape id="Straight Arrow Connector 7" o:spid="_x0000_s1026" type="#_x0000_t32" style="position:absolute;margin-left:98.25pt;margin-top:167.6pt;width:100.5pt;height:24.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" strokecolor="red">
                <v:stroke endarrow="block"/>
              </v:shape>
            </w:pict>
          </mc:Fallback>
        </mc:AlternateContent>
      </w:r>
      <w:r>
        <w:rPr>
          <w:noProof/>
        </w:rPr>
        <mc:AlternateContent>
          <mc:Choice Requires="wps">
            <w:drawing>
              <wp:anchor distT="0" distB="0" distL="114300" distR="114300" simplePos="0" relativeHeight="251660288" behindDoc="0" locked="0" layoutInCell="1" allowOverlap="1" wp14:anchorId="18FF5DFF" wp14:editId="17C5BF1B">
                <wp:simplePos x="0" y="0"/>
                <wp:positionH relativeFrom="column">
                  <wp:posOffset>152400</wp:posOffset>
                </wp:positionH>
                <wp:positionV relativeFrom="paragraph">
                  <wp:posOffset>2338070</wp:posOffset>
                </wp:positionV>
                <wp:extent cx="1123950" cy="3429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123950" cy="342900"/>
                        </a:xfrm>
                        <a:prstGeom prst="rect">
                          <a:avLst/>
                        </a:prstGeom>
                        <a:solidFill>
                          <a:schemeClr val="lt1"/>
                        </a:solidFill>
                        <a:ln w="6350">
                          <a:noFill/>
                        </a:ln>
                      </wps:spPr>
                      <wps:txbx>
                        <w:txbxContent>
                          <w:p w:rsidR="006F34DA" w:rsidRPr="00DF2FE8" w:rsidRDefault="006F34DA" w:rsidP="006F34DA">
                            <w:pPr>
                              <w:rPr>
                                <w:b/>
                                <w:color w:val="FF0000"/>
                              </w:rPr>
                            </w:pPr>
                            <w:r w:rsidRPr="00DF2FE8">
                              <w:rPr>
                                <w:b/>
                                <w:color w:val="FF0000"/>
                              </w:rPr>
                              <w:t>Broward County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8FF5DFF" id="_x0000_t202" coordsize="21600,21600" o:spt="202" path="m,l,21600r21600,l21600,xe">
                <v:stroke joinstyle="miter"/>
                <v:path gradientshapeok="t" o:connecttype="rect"/>
              </v:shapetype>
              <v:shape id="Text Box 5" o:spid="_x0000_s1026" type="#_x0000_t202" style="position:absolute;margin-left:12pt;margin-top:184.1pt;width:88.5pt;height:2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" fillcolor="white [3201]" stroked="f" strokeweight=".5pt">
                <v:textbox>
                  <w:txbxContent>
                    <w:p w:rsidR="006F34DA" w:rsidRPr="00DF2FE8" w:rsidRDefault="006F34DA" w:rsidP="006F34DA">
                      <w:pPr>
                        <w:rPr>
                          <w:b/>
                          <w:color w:val="FF0000"/>
                        </w:rPr>
                      </w:pPr>
                      <w:r w:rsidRPr="00DF2FE8">
                        <w:rPr>
                          <w:b/>
                          <w:color w:val="FF0000"/>
                        </w:rPr>
                        <w:t>Broward County</w:t>
                      </w:r>
                    </w:p>
                  </w:txbxContent>
                </v:textbox>
              </v:shape>
            </w:pict>
          </mc:Fallback>
        </mc:AlternateContent>
      </w:r>
      <w:r>
        <w:rPr>
          <w:noProof/>
        </w:rPr>
        <w:drawing>
          <wp:inline distT="0" distB="0" distL="0" distR="0" wp14:anchorId="18411C85" wp14:editId="14EFC627">
            <wp:extent cx="2847975" cy="2811579"/>
            <wp:effectExtent l="19050" t="19050" r="9525" b="273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19" cy="2814386"/>
                    </a:xfrm>
                    <a:prstGeom prst="rect">
                      <a:avLst/>
                    </a:prstGeom>
                    <a:solidFill>
                      <a:schemeClr val="tx1"/>
                    </a:solidFill>
                    <a:ln w="19050">
                      <a:solidFill>
                        <a:schemeClr val="tx1"/>
                      </a:solidFill>
                    </a:ln>
                  </pic:spPr>
                </pic:pic>
              </a:graphicData>
            </a:graphic>
          </wp:inline>
        </w:drawing>
      </w:r>
      <w:r>
        <w:tab/>
      </w:r>
      <w:r>
        <w:rPr>
          <w:noProof/>
        </w:rPr>
        <w:drawing>
          <wp:inline distT="0" distB="0" distL="0" distR="0" wp14:anchorId="4D91839C" wp14:editId="6272CF69">
            <wp:extent cx="3390265" cy="2827181"/>
            <wp:effectExtent l="19050" t="19050" r="19685"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1793" cy="2836795"/>
                    </a:xfrm>
                    <a:prstGeom prst="rect">
                      <a:avLst/>
                    </a:prstGeom>
                    <a:ln w="19050">
                      <a:solidFill>
                        <a:schemeClr val="tx1"/>
                      </a:solidFill>
                    </a:ln>
                  </pic:spPr>
                </pic:pic>
              </a:graphicData>
            </a:graphic>
          </wp:inline>
        </w:drawing>
      </w:r>
    </w:p>
    <w:p w:rsidR="006F34DA" w:rsidRDefault="006F34DA" w:rsidP="006F34DA">
      <w:pPr>
        <w:pStyle w:val="Caption"/>
        <w:tabs>
          <w:tab w:val="left" w:pos="5310"/>
        </w:tabs>
        <w:ind w:left="450"/>
        <w:rPr>
          <w:b/>
          <w:i w:val="0"/>
          <w:color w:val="auto"/>
          <w:sz w:val="22"/>
          <w:szCs w:val="22"/>
        </w:rPr>
      </w:pPr>
      <w:bookmarkStart w:id="0" w:name="_Ref470183765"/>
      <w:r w:rsidRPr="00D813BC">
        <w:rPr>
          <w:b/>
          <w:i w:val="0"/>
          <w:color w:val="auto"/>
          <w:sz w:val="22"/>
          <w:szCs w:val="22"/>
        </w:rPr>
        <w:t xml:space="preserve">Figure </w:t>
      </w:r>
      <w:r w:rsidRPr="00D813BC">
        <w:rPr>
          <w:b/>
          <w:i w:val="0"/>
          <w:color w:val="auto"/>
          <w:sz w:val="22"/>
          <w:szCs w:val="22"/>
        </w:rPr>
        <w:fldChar w:fldCharType="begin"/>
      </w:r>
      <w:r w:rsidRPr="00D813BC">
        <w:rPr>
          <w:b/>
          <w:i w:val="0"/>
          <w:color w:val="auto"/>
          <w:sz w:val="22"/>
          <w:szCs w:val="22"/>
        </w:rPr>
        <w:instrText xml:space="preserve"> SEQ Figure \* ARABIC </w:instrText>
      </w:r>
      <w:r w:rsidRPr="00D813BC">
        <w:rPr>
          <w:b/>
          <w:i w:val="0"/>
          <w:color w:val="auto"/>
          <w:sz w:val="22"/>
          <w:szCs w:val="22"/>
        </w:rPr>
        <w:fldChar w:fldCharType="separate"/>
      </w:r>
      <w:r w:rsidR="00E41691">
        <w:rPr>
          <w:b/>
          <w:i w:val="0"/>
          <w:noProof/>
          <w:color w:val="auto"/>
          <w:sz w:val="22"/>
          <w:szCs w:val="22"/>
        </w:rPr>
        <w:t>1</w:t>
      </w:r>
      <w:r w:rsidRPr="00D813BC">
        <w:rPr>
          <w:b/>
          <w:i w:val="0"/>
          <w:color w:val="auto"/>
          <w:sz w:val="22"/>
          <w:szCs w:val="22"/>
        </w:rPr>
        <w:fldChar w:fldCharType="end"/>
      </w:r>
      <w:bookmarkEnd w:id="0"/>
      <w:r w:rsidRPr="00D813BC">
        <w:rPr>
          <w:b/>
          <w:i w:val="0"/>
          <w:color w:val="auto"/>
          <w:sz w:val="22"/>
          <w:szCs w:val="22"/>
        </w:rPr>
        <w:t>.  Location of Broward County</w:t>
      </w:r>
      <w:r>
        <w:rPr>
          <w:b/>
          <w:i w:val="0"/>
          <w:color w:val="auto"/>
          <w:sz w:val="22"/>
          <w:szCs w:val="22"/>
        </w:rPr>
        <w:t>.</w:t>
      </w:r>
      <w:r w:rsidRPr="00D813BC">
        <w:rPr>
          <w:b/>
          <w:i w:val="0"/>
          <w:color w:val="auto"/>
          <w:sz w:val="22"/>
          <w:szCs w:val="22"/>
        </w:rPr>
        <w:tab/>
      </w:r>
      <w:bookmarkStart w:id="1" w:name="_Ref470183822"/>
      <w:r w:rsidRPr="00D813BC">
        <w:rPr>
          <w:b/>
          <w:i w:val="0"/>
          <w:color w:val="auto"/>
          <w:sz w:val="22"/>
          <w:szCs w:val="22"/>
        </w:rPr>
        <w:t xml:space="preserve">Figure </w:t>
      </w:r>
      <w:r w:rsidRPr="00D813BC">
        <w:rPr>
          <w:b/>
          <w:i w:val="0"/>
          <w:color w:val="auto"/>
          <w:sz w:val="22"/>
          <w:szCs w:val="22"/>
        </w:rPr>
        <w:fldChar w:fldCharType="begin"/>
      </w:r>
      <w:r w:rsidRPr="00D813BC">
        <w:rPr>
          <w:b/>
          <w:i w:val="0"/>
          <w:color w:val="auto"/>
          <w:sz w:val="22"/>
          <w:szCs w:val="22"/>
        </w:rPr>
        <w:instrText xml:space="preserve"> SEQ Figure \* ARABIC </w:instrText>
      </w:r>
      <w:r w:rsidRPr="00D813BC">
        <w:rPr>
          <w:b/>
          <w:i w:val="0"/>
          <w:color w:val="auto"/>
          <w:sz w:val="22"/>
          <w:szCs w:val="22"/>
        </w:rPr>
        <w:fldChar w:fldCharType="separate"/>
      </w:r>
      <w:r w:rsidR="00E41691">
        <w:rPr>
          <w:b/>
          <w:i w:val="0"/>
          <w:noProof/>
          <w:color w:val="auto"/>
          <w:sz w:val="22"/>
          <w:szCs w:val="22"/>
        </w:rPr>
        <w:t>2</w:t>
      </w:r>
      <w:r w:rsidRPr="00D813BC">
        <w:rPr>
          <w:b/>
          <w:i w:val="0"/>
          <w:color w:val="auto"/>
          <w:sz w:val="22"/>
          <w:szCs w:val="22"/>
        </w:rPr>
        <w:fldChar w:fldCharType="end"/>
      </w:r>
      <w:bookmarkEnd w:id="1"/>
      <w:r w:rsidRPr="00D813BC">
        <w:rPr>
          <w:b/>
          <w:i w:val="0"/>
          <w:color w:val="auto"/>
          <w:sz w:val="22"/>
          <w:szCs w:val="22"/>
        </w:rPr>
        <w:t>.  Location of Monarch Hill Landfill</w:t>
      </w:r>
      <w:r>
        <w:rPr>
          <w:b/>
          <w:i w:val="0"/>
          <w:color w:val="auto"/>
          <w:sz w:val="22"/>
          <w:szCs w:val="22"/>
        </w:rPr>
        <w:t>.</w:t>
      </w:r>
    </w:p>
    <w:p w:rsidR="006F34DA" w:rsidRDefault="006F34DA" w:rsidP="006F34DA">
      <w:pPr>
        <w:spacing w:after="60"/>
        <w:jc w:val="center"/>
        <w:rPr>
          <w:sz w:val="22"/>
          <w:szCs w:val="22"/>
        </w:rPr>
      </w:pPr>
      <w:r>
        <w:rPr>
          <w:noProof/>
        </w:rPr>
        <mc:AlternateContent>
          <mc:Choice Requires="wps">
            <w:drawing>
              <wp:anchor distT="0" distB="0" distL="114300" distR="114300" simplePos="0" relativeHeight="251659264" behindDoc="0" locked="0" layoutInCell="1" allowOverlap="1" wp14:anchorId="698BE3E1" wp14:editId="36B22ECB">
                <wp:simplePos x="0" y="0"/>
                <wp:positionH relativeFrom="column">
                  <wp:posOffset>2371726</wp:posOffset>
                </wp:positionH>
                <wp:positionV relativeFrom="paragraph">
                  <wp:posOffset>1417320</wp:posOffset>
                </wp:positionV>
                <wp:extent cx="1447800" cy="247650"/>
                <wp:effectExtent l="0" t="0" r="0" b="0"/>
                <wp:wrapNone/>
                <wp:docPr id="6" name="Text Box 6"/>
                <wp:cNvGraphicFramePr/>
                <a:graphic xmlns:a="http://schemas.openxmlformats.org/drawingml/2006/main">
                  <a:graphicData uri="http://schemas.microsoft.com/office/word/2010/wordprocessingShape">
                    <wps:wsp>
                      <wps:cNvSpPr txBox="1"/>
                      <wps:spPr>
                        <a:xfrm>
                          <a:off x="0" y="0"/>
                          <a:ext cx="1447800" cy="247650"/>
                        </a:xfrm>
                        <a:prstGeom prst="rect">
                          <a:avLst/>
                        </a:prstGeom>
                        <a:noFill/>
                        <a:ln w="6350">
                          <a:noFill/>
                        </a:ln>
                        <a:effectLst/>
                      </wps:spPr>
                      <wps:txbx>
                        <w:txbxContent>
                          <w:p w:rsidR="006F34DA" w:rsidRPr="00BC7CDF" w:rsidRDefault="006F34DA" w:rsidP="006F34DA">
                            <w:pPr>
                              <w:rPr>
                                <w:b/>
                                <w:color w:val="FFFF00"/>
                              </w:rPr>
                            </w:pPr>
                            <w:r>
                              <w:rPr>
                                <w:b/>
                                <w:color w:val="FFFF00"/>
                              </w:rPr>
                              <w:t>Monarch Hill Landfill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BE3E1" id="Text Box 6" o:spid="_x0000_s1027" type="#_x0000_t202" style="position:absolute;left:0;text-align:left;margin-left:186.75pt;margin-top:111.6pt;width:114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" filled="f" stroked="f" strokeweight=".5pt">
                <v:textbox>
                  <w:txbxContent>
                    <w:p w:rsidR="006F34DA" w:rsidRPr="00BC7CDF" w:rsidRDefault="006F34DA" w:rsidP="006F34DA">
                      <w:pPr>
                        <w:rPr>
                          <w:b/>
                          <w:color w:val="FFFF00"/>
                        </w:rPr>
                      </w:pPr>
                      <w:r>
                        <w:rPr>
                          <w:b/>
                          <w:color w:val="FFFF00"/>
                        </w:rPr>
                        <w:t>Monarch Hill Landfill</w:t>
                      </w:r>
                    </w:p>
                  </w:txbxContent>
                </v:textbox>
              </v:shape>
            </w:pict>
          </mc:Fallback>
        </mc:AlternateContent>
      </w:r>
      <w:r>
        <w:rPr>
          <w:noProof/>
        </w:rPr>
        <w:drawing>
          <wp:inline distT="0" distB="0" distL="0" distR="0" wp14:anchorId="6CB9E57B" wp14:editId="32A58151">
            <wp:extent cx="5704762" cy="3600000"/>
            <wp:effectExtent l="19050" t="19050" r="10795" b="196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4762" cy="3600000"/>
                    </a:xfrm>
                    <a:prstGeom prst="rect">
                      <a:avLst/>
                    </a:prstGeom>
                    <a:ln w="19050">
                      <a:solidFill>
                        <a:schemeClr val="tx1"/>
                      </a:solidFill>
                    </a:ln>
                  </pic:spPr>
                </pic:pic>
              </a:graphicData>
            </a:graphic>
          </wp:inline>
        </w:drawing>
      </w:r>
    </w:p>
    <w:p w:rsidR="006F34DA" w:rsidRDefault="006F34DA" w:rsidP="006F34DA">
      <w:pPr>
        <w:pStyle w:val="Caption"/>
        <w:jc w:val="center"/>
        <w:rPr>
          <w:b/>
          <w:i w:val="0"/>
          <w:color w:val="auto"/>
          <w:sz w:val="22"/>
          <w:szCs w:val="22"/>
        </w:rPr>
      </w:pPr>
      <w:bookmarkStart w:id="2" w:name="_Ref471800705"/>
      <w:r w:rsidRPr="005D5F4B">
        <w:rPr>
          <w:b/>
          <w:i w:val="0"/>
          <w:color w:val="auto"/>
          <w:sz w:val="22"/>
          <w:szCs w:val="22"/>
        </w:rPr>
        <w:t xml:space="preserve">Figure </w:t>
      </w:r>
      <w:r w:rsidRPr="005D5F4B">
        <w:rPr>
          <w:b/>
          <w:i w:val="0"/>
          <w:color w:val="auto"/>
          <w:sz w:val="22"/>
          <w:szCs w:val="22"/>
        </w:rPr>
        <w:fldChar w:fldCharType="begin"/>
      </w:r>
      <w:r w:rsidRPr="005D5F4B">
        <w:rPr>
          <w:b/>
          <w:i w:val="0"/>
          <w:color w:val="auto"/>
          <w:sz w:val="22"/>
          <w:szCs w:val="22"/>
        </w:rPr>
        <w:instrText xml:space="preserve"> SEQ Figure \* ARABIC </w:instrText>
      </w:r>
      <w:r w:rsidRPr="005D5F4B">
        <w:rPr>
          <w:b/>
          <w:i w:val="0"/>
          <w:color w:val="auto"/>
          <w:sz w:val="22"/>
          <w:szCs w:val="22"/>
        </w:rPr>
        <w:fldChar w:fldCharType="separate"/>
      </w:r>
      <w:r w:rsidR="00E41691">
        <w:rPr>
          <w:b/>
          <w:i w:val="0"/>
          <w:noProof/>
          <w:color w:val="auto"/>
          <w:sz w:val="22"/>
          <w:szCs w:val="22"/>
        </w:rPr>
        <w:t>3</w:t>
      </w:r>
      <w:r w:rsidRPr="005D5F4B">
        <w:rPr>
          <w:b/>
          <w:i w:val="0"/>
          <w:color w:val="auto"/>
          <w:sz w:val="22"/>
          <w:szCs w:val="22"/>
        </w:rPr>
        <w:fldChar w:fldCharType="end"/>
      </w:r>
      <w:bookmarkEnd w:id="2"/>
      <w:r w:rsidRPr="005D5F4B">
        <w:rPr>
          <w:b/>
          <w:i w:val="0"/>
          <w:color w:val="auto"/>
          <w:sz w:val="22"/>
          <w:szCs w:val="22"/>
        </w:rPr>
        <w:t>.  Satellite View of Monarch Hill Landfill</w:t>
      </w:r>
      <w:r>
        <w:rPr>
          <w:b/>
          <w:i w:val="0"/>
          <w:color w:val="auto"/>
          <w:sz w:val="22"/>
          <w:szCs w:val="22"/>
        </w:rPr>
        <w:t>.</w:t>
      </w:r>
    </w:p>
    <w:p w:rsidR="006F34DA" w:rsidRPr="003D2E91" w:rsidRDefault="006F34DA" w:rsidP="006F34DA">
      <w:pPr>
        <w:spacing w:after="120"/>
        <w:rPr>
          <w:sz w:val="22"/>
          <w:szCs w:val="22"/>
        </w:rPr>
      </w:pPr>
      <w:r w:rsidRPr="003D2E91">
        <w:rPr>
          <w:sz w:val="22"/>
          <w:szCs w:val="22"/>
        </w:rPr>
        <w:t xml:space="preserve">Monarch Hill </w:t>
      </w:r>
      <w:r w:rsidRPr="001F0E03">
        <w:rPr>
          <w:sz w:val="22"/>
          <w:szCs w:val="22"/>
        </w:rPr>
        <w:t>Landfill, owned and operated by Waste Management Inc. of Florida (WMIF), is an active Class I Landfill which began receiving waste in 1965.  The overall design capacity of the landfill as of 2015 is 80 million cubic yards</w:t>
      </w:r>
      <w:r>
        <w:rPr>
          <w:sz w:val="22"/>
          <w:szCs w:val="22"/>
        </w:rPr>
        <w:t xml:space="preserve"> (approximately 61 million cubic meters)</w:t>
      </w:r>
      <w:r w:rsidRPr="001F0E03">
        <w:rPr>
          <w:sz w:val="22"/>
          <w:szCs w:val="22"/>
        </w:rPr>
        <w:t xml:space="preserve">.  There are 391.5 acres permitted to receive MSW and 44.5 acres for ash monofill.  Of the 44.5 acres for the ash monofill, 31 acres are dedicated to </w:t>
      </w:r>
      <w:r w:rsidR="001923DF" w:rsidRPr="001F0E03">
        <w:rPr>
          <w:sz w:val="22"/>
          <w:szCs w:val="22"/>
        </w:rPr>
        <w:t>receiving</w:t>
      </w:r>
      <w:r w:rsidRPr="001F0E03">
        <w:rPr>
          <w:sz w:val="22"/>
          <w:szCs w:val="22"/>
        </w:rPr>
        <w:t xml:space="preserve"> </w:t>
      </w:r>
      <w:r>
        <w:rPr>
          <w:sz w:val="22"/>
          <w:szCs w:val="22"/>
        </w:rPr>
        <w:t>construction and demolition debris (</w:t>
      </w:r>
      <w:r w:rsidRPr="001F0E03">
        <w:rPr>
          <w:sz w:val="22"/>
          <w:szCs w:val="22"/>
        </w:rPr>
        <w:t>C&amp;D</w:t>
      </w:r>
      <w:r>
        <w:rPr>
          <w:sz w:val="22"/>
          <w:szCs w:val="22"/>
        </w:rPr>
        <w:t>)</w:t>
      </w:r>
      <w:r w:rsidRPr="003D2E91">
        <w:rPr>
          <w:sz w:val="22"/>
          <w:szCs w:val="22"/>
        </w:rPr>
        <w:t xml:space="preserve">. </w:t>
      </w:r>
      <w:r>
        <w:rPr>
          <w:sz w:val="22"/>
          <w:szCs w:val="22"/>
        </w:rPr>
        <w:t xml:space="preserve"> </w:t>
      </w:r>
      <w:r w:rsidRPr="003D2E91">
        <w:rPr>
          <w:sz w:val="22"/>
          <w:szCs w:val="22"/>
        </w:rPr>
        <w:t xml:space="preserve">Landfill gases (LFGs) generated from waste are collected by a gas collection system and routed to enclosed flares, </w:t>
      </w:r>
      <w:r>
        <w:rPr>
          <w:sz w:val="22"/>
          <w:szCs w:val="22"/>
        </w:rPr>
        <w:t>an</w:t>
      </w:r>
      <w:r w:rsidRPr="003D2E91">
        <w:rPr>
          <w:sz w:val="22"/>
          <w:szCs w:val="22"/>
        </w:rPr>
        <w:t xml:space="preserve"> open flare, or to </w:t>
      </w:r>
      <w:r>
        <w:rPr>
          <w:sz w:val="22"/>
          <w:szCs w:val="22"/>
        </w:rPr>
        <w:t>a</w:t>
      </w:r>
      <w:r w:rsidRPr="003D2E91">
        <w:rPr>
          <w:sz w:val="22"/>
          <w:szCs w:val="22"/>
        </w:rPr>
        <w:t xml:space="preserve"> gas treatment plant. </w:t>
      </w:r>
      <w:r>
        <w:rPr>
          <w:sz w:val="22"/>
          <w:szCs w:val="22"/>
        </w:rPr>
        <w:t xml:space="preserve"> </w:t>
      </w:r>
      <w:r w:rsidRPr="003D2E91">
        <w:rPr>
          <w:sz w:val="22"/>
          <w:szCs w:val="22"/>
        </w:rPr>
        <w:t xml:space="preserve">The LFGs from the gas treatment plant are directed to combustion turbines for subsequent use in </w:t>
      </w:r>
      <w:r>
        <w:rPr>
          <w:sz w:val="22"/>
          <w:szCs w:val="22"/>
        </w:rPr>
        <w:t>an</w:t>
      </w:r>
      <w:r w:rsidRPr="003D2E91">
        <w:rPr>
          <w:sz w:val="22"/>
          <w:szCs w:val="22"/>
        </w:rPr>
        <w:t xml:space="preserve"> electrical power generation plant. </w:t>
      </w:r>
      <w:r>
        <w:rPr>
          <w:sz w:val="22"/>
          <w:szCs w:val="22"/>
        </w:rPr>
        <w:t xml:space="preserve"> </w:t>
      </w:r>
      <w:r w:rsidRPr="003D2E91">
        <w:rPr>
          <w:sz w:val="22"/>
          <w:szCs w:val="22"/>
        </w:rPr>
        <w:t xml:space="preserve">Although the open flare is currently used as an aid to </w:t>
      </w:r>
      <w:r w:rsidR="001923DF" w:rsidRPr="003D2E91">
        <w:rPr>
          <w:sz w:val="22"/>
          <w:szCs w:val="22"/>
        </w:rPr>
        <w:t>start</w:t>
      </w:r>
      <w:r w:rsidRPr="003D2E91">
        <w:rPr>
          <w:sz w:val="22"/>
          <w:szCs w:val="22"/>
        </w:rPr>
        <w:t xml:space="preserve"> the turbines, the owner or operator has the option to use it as a primary control device if deemed necessary.</w:t>
      </w:r>
    </w:p>
    <w:p w:rsidR="006F34DA" w:rsidRDefault="006F34DA" w:rsidP="006F34DA">
      <w:pPr>
        <w:spacing w:after="120"/>
        <w:rPr>
          <w:sz w:val="22"/>
          <w:szCs w:val="22"/>
        </w:rPr>
      </w:pPr>
      <w:r w:rsidRPr="003D2E91">
        <w:rPr>
          <w:sz w:val="22"/>
          <w:szCs w:val="22"/>
        </w:rPr>
        <w:t>LFGs are primarily composed of methane (CH</w:t>
      </w:r>
      <w:r w:rsidRPr="003D2E91">
        <w:rPr>
          <w:sz w:val="22"/>
          <w:szCs w:val="22"/>
          <w:vertAlign w:val="subscript"/>
        </w:rPr>
        <w:t>4</w:t>
      </w:r>
      <w:r w:rsidRPr="003D2E91">
        <w:rPr>
          <w:sz w:val="22"/>
          <w:szCs w:val="22"/>
        </w:rPr>
        <w:t>) and carbon dioxide (CO</w:t>
      </w:r>
      <w:r w:rsidRPr="003D2E91">
        <w:rPr>
          <w:sz w:val="22"/>
          <w:szCs w:val="22"/>
          <w:vertAlign w:val="subscript"/>
        </w:rPr>
        <w:t>2</w:t>
      </w:r>
      <w:r w:rsidRPr="003D2E91">
        <w:rPr>
          <w:sz w:val="22"/>
          <w:szCs w:val="22"/>
        </w:rPr>
        <w:t>), but also contain non-methane organics (NMOC), volatile organic compounds (VOCs), hazardous air pollutants (HAPs), and hydrogen sulfide (H</w:t>
      </w:r>
      <w:r w:rsidRPr="007574F4">
        <w:rPr>
          <w:sz w:val="22"/>
          <w:szCs w:val="22"/>
          <w:vertAlign w:val="subscript"/>
        </w:rPr>
        <w:t>2</w:t>
      </w:r>
      <w:r w:rsidRPr="003D2E91">
        <w:rPr>
          <w:sz w:val="22"/>
          <w:szCs w:val="22"/>
        </w:rPr>
        <w:t xml:space="preserve">S). </w:t>
      </w:r>
      <w:r>
        <w:rPr>
          <w:sz w:val="22"/>
          <w:szCs w:val="22"/>
        </w:rPr>
        <w:t xml:space="preserve"> </w:t>
      </w:r>
      <w:r w:rsidRPr="003D2E91">
        <w:rPr>
          <w:sz w:val="22"/>
          <w:szCs w:val="22"/>
        </w:rPr>
        <w:t>Sulfur dioxide (SO</w:t>
      </w:r>
      <w:r w:rsidRPr="007574F4">
        <w:rPr>
          <w:sz w:val="22"/>
          <w:szCs w:val="22"/>
          <w:vertAlign w:val="subscript"/>
        </w:rPr>
        <w:t>2</w:t>
      </w:r>
      <w:r w:rsidRPr="003D2E91">
        <w:rPr>
          <w:sz w:val="22"/>
          <w:szCs w:val="22"/>
        </w:rPr>
        <w:t xml:space="preserve">) and nitrogen oxides (NOx) </w:t>
      </w:r>
      <w:r>
        <w:rPr>
          <w:sz w:val="22"/>
          <w:szCs w:val="22"/>
        </w:rPr>
        <w:t>a</w:t>
      </w:r>
      <w:r w:rsidRPr="003D2E91">
        <w:rPr>
          <w:sz w:val="22"/>
          <w:szCs w:val="22"/>
        </w:rPr>
        <w:t xml:space="preserve">re generated from the combustion of LFGs in the combustion turbines, the enclosed flares and the open flare. </w:t>
      </w:r>
      <w:r>
        <w:rPr>
          <w:sz w:val="22"/>
          <w:szCs w:val="22"/>
        </w:rPr>
        <w:t xml:space="preserve"> </w:t>
      </w:r>
      <w:r w:rsidRPr="003D2E91">
        <w:rPr>
          <w:sz w:val="22"/>
          <w:szCs w:val="22"/>
        </w:rPr>
        <w:t xml:space="preserve">Particulate matter (PM) emissions </w:t>
      </w:r>
      <w:r>
        <w:rPr>
          <w:sz w:val="22"/>
          <w:szCs w:val="22"/>
        </w:rPr>
        <w:t>result</w:t>
      </w:r>
      <w:r w:rsidRPr="003D2E91">
        <w:rPr>
          <w:sz w:val="22"/>
          <w:szCs w:val="22"/>
        </w:rPr>
        <w:t xml:space="preserve"> from fugitive dust from roads, earthmoving activities and waste placement and compaction activities.</w:t>
      </w:r>
      <w:r>
        <w:rPr>
          <w:sz w:val="22"/>
          <w:szCs w:val="22"/>
        </w:rPr>
        <w:t xml:space="preserve">  </w:t>
      </w:r>
      <w:r w:rsidRPr="008B50EE">
        <w:rPr>
          <w:sz w:val="22"/>
          <w:szCs w:val="22"/>
        </w:rPr>
        <w:fldChar w:fldCharType="begin"/>
      </w:r>
      <w:r w:rsidRPr="008B50EE">
        <w:rPr>
          <w:sz w:val="22"/>
          <w:szCs w:val="22"/>
        </w:rPr>
        <w:instrText xml:space="preserve"> REF _Ref470596285 \h  \* MERGEFORMAT </w:instrText>
      </w:r>
      <w:r w:rsidRPr="008B50EE">
        <w:rPr>
          <w:sz w:val="22"/>
          <w:szCs w:val="22"/>
        </w:rPr>
      </w:r>
      <w:r w:rsidRPr="008B50EE">
        <w:rPr>
          <w:sz w:val="22"/>
          <w:szCs w:val="22"/>
        </w:rPr>
        <w:fldChar w:fldCharType="separate"/>
      </w:r>
      <w:r w:rsidRPr="0031022E">
        <w:rPr>
          <w:b/>
          <w:sz w:val="22"/>
        </w:rPr>
        <w:t xml:space="preserve">Table </w:t>
      </w:r>
      <w:r w:rsidRPr="0031022E">
        <w:rPr>
          <w:b/>
          <w:noProof/>
          <w:sz w:val="22"/>
        </w:rPr>
        <w:t>1</w:t>
      </w:r>
      <w:r w:rsidRPr="008B50EE">
        <w:rPr>
          <w:sz w:val="22"/>
          <w:szCs w:val="22"/>
        </w:rPr>
        <w:fldChar w:fldCharType="end"/>
      </w:r>
      <w:r w:rsidRPr="008B50EE">
        <w:rPr>
          <w:sz w:val="22"/>
          <w:szCs w:val="22"/>
        </w:rPr>
        <w:t xml:space="preserve"> </w:t>
      </w:r>
      <w:r>
        <w:rPr>
          <w:sz w:val="22"/>
          <w:szCs w:val="22"/>
        </w:rPr>
        <w:t xml:space="preserve">lists </w:t>
      </w:r>
      <w:r w:rsidRPr="007A4365">
        <w:rPr>
          <w:sz w:val="22"/>
          <w:szCs w:val="22"/>
        </w:rPr>
        <w:t>the active emission units (EUs) at the facility.</w:t>
      </w:r>
    </w:p>
    <w:p w:rsidR="006F34DA" w:rsidRPr="00932FEE" w:rsidRDefault="006F34DA" w:rsidP="006F34DA">
      <w:pPr>
        <w:pStyle w:val="Caption"/>
        <w:spacing w:after="60"/>
        <w:jc w:val="center"/>
        <w:rPr>
          <w:b/>
          <w:i w:val="0"/>
          <w:caps/>
          <w:color w:val="auto"/>
          <w:sz w:val="28"/>
          <w:szCs w:val="22"/>
        </w:rPr>
      </w:pPr>
      <w:bookmarkStart w:id="3" w:name="_Ref470596285"/>
      <w:r w:rsidRPr="00932FEE">
        <w:rPr>
          <w:b/>
          <w:i w:val="0"/>
          <w:caps/>
          <w:color w:val="auto"/>
          <w:sz w:val="22"/>
        </w:rPr>
        <w:t xml:space="preserve">Table </w:t>
      </w:r>
      <w:r w:rsidRPr="00932FEE">
        <w:rPr>
          <w:b/>
          <w:i w:val="0"/>
          <w:caps/>
          <w:color w:val="auto"/>
          <w:sz w:val="22"/>
        </w:rPr>
        <w:fldChar w:fldCharType="begin"/>
      </w:r>
      <w:r w:rsidRPr="00932FEE">
        <w:rPr>
          <w:b/>
          <w:i w:val="0"/>
          <w:caps/>
          <w:color w:val="auto"/>
          <w:sz w:val="22"/>
        </w:rPr>
        <w:instrText xml:space="preserve"> SEQ Table \* ARABIC </w:instrText>
      </w:r>
      <w:r w:rsidRPr="00932FEE">
        <w:rPr>
          <w:b/>
          <w:i w:val="0"/>
          <w:caps/>
          <w:color w:val="auto"/>
          <w:sz w:val="22"/>
        </w:rPr>
        <w:fldChar w:fldCharType="separate"/>
      </w:r>
      <w:r w:rsidRPr="00932FEE">
        <w:rPr>
          <w:b/>
          <w:i w:val="0"/>
          <w:caps/>
          <w:noProof/>
          <w:color w:val="auto"/>
          <w:sz w:val="22"/>
        </w:rPr>
        <w:t>1</w:t>
      </w:r>
      <w:r w:rsidRPr="00932FEE">
        <w:rPr>
          <w:b/>
          <w:i w:val="0"/>
          <w:caps/>
          <w:color w:val="auto"/>
          <w:sz w:val="22"/>
        </w:rPr>
        <w:fldChar w:fldCharType="end"/>
      </w:r>
      <w:bookmarkEnd w:id="3"/>
      <w:r>
        <w:rPr>
          <w:b/>
          <w:i w:val="0"/>
          <w:caps/>
          <w:color w:val="auto"/>
          <w:sz w:val="22"/>
        </w:rPr>
        <w:t xml:space="preserve"> - </w:t>
      </w:r>
      <w:r w:rsidRPr="00932FEE">
        <w:rPr>
          <w:b/>
          <w:i w:val="0"/>
          <w:caps/>
          <w:color w:val="auto"/>
          <w:sz w:val="22"/>
        </w:rPr>
        <w:t>List of Existing EUs at Monarch Hill Landfill.</w:t>
      </w:r>
    </w:p>
    <w:tbl>
      <w:tblPr>
        <w:tblW w:w="996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405"/>
        <w:gridCol w:w="8555"/>
      </w:tblGrid>
      <w:tr w:rsidR="006F34DA" w:rsidRPr="003B71C1" w:rsidTr="00AE0319">
        <w:tc>
          <w:tcPr>
            <w:tcW w:w="1405" w:type="dxa"/>
            <w:tcBorders>
              <w:top w:val="single" w:sz="12" w:space="0" w:color="auto"/>
              <w:left w:val="single" w:sz="12" w:space="0" w:color="auto"/>
              <w:bottom w:val="single" w:sz="12" w:space="0" w:color="auto"/>
              <w:right w:val="single" w:sz="12" w:space="0" w:color="auto"/>
            </w:tcBorders>
            <w:shd w:val="clear" w:color="auto" w:fill="B8CCE4" w:themeFill="accent1" w:themeFillTint="66"/>
            <w:hideMark/>
          </w:tcPr>
          <w:p w:rsidR="006F34DA" w:rsidRPr="003B71C1" w:rsidRDefault="006F34DA" w:rsidP="00AE0319">
            <w:pPr>
              <w:jc w:val="center"/>
              <w:rPr>
                <w:b/>
              </w:rPr>
            </w:pPr>
            <w:r w:rsidRPr="003B71C1">
              <w:rPr>
                <w:b/>
              </w:rPr>
              <w:t>E.U. ID No.</w:t>
            </w:r>
          </w:p>
        </w:tc>
        <w:tc>
          <w:tcPr>
            <w:tcW w:w="8555" w:type="dxa"/>
            <w:tcBorders>
              <w:top w:val="single" w:sz="12" w:space="0" w:color="auto"/>
              <w:left w:val="single" w:sz="12" w:space="0" w:color="auto"/>
              <w:bottom w:val="single" w:sz="12" w:space="0" w:color="auto"/>
              <w:right w:val="single" w:sz="12" w:space="0" w:color="auto"/>
            </w:tcBorders>
            <w:shd w:val="clear" w:color="auto" w:fill="B8CCE4" w:themeFill="accent1" w:themeFillTint="66"/>
            <w:hideMark/>
          </w:tcPr>
          <w:p w:rsidR="006F34DA" w:rsidRPr="003B71C1" w:rsidRDefault="006F34DA" w:rsidP="00AE0319">
            <w:pPr>
              <w:keepNext/>
              <w:outlineLvl w:val="1"/>
              <w:rPr>
                <w:b/>
              </w:rPr>
            </w:pPr>
            <w:r w:rsidRPr="003B71C1">
              <w:rPr>
                <w:b/>
              </w:rPr>
              <w:t>Brief Description</w:t>
            </w:r>
          </w:p>
        </w:tc>
      </w:tr>
      <w:tr w:rsidR="006F34DA" w:rsidRPr="003B71C1" w:rsidTr="00AE0319">
        <w:tc>
          <w:tcPr>
            <w:tcW w:w="9960" w:type="dxa"/>
            <w:gridSpan w:val="2"/>
            <w:tcBorders>
              <w:top w:val="single" w:sz="12" w:space="0" w:color="auto"/>
              <w:left w:val="single" w:sz="12" w:space="0" w:color="auto"/>
              <w:bottom w:val="single" w:sz="6" w:space="0" w:color="auto"/>
              <w:right w:val="single" w:sz="12" w:space="0" w:color="auto"/>
            </w:tcBorders>
            <w:hideMark/>
          </w:tcPr>
          <w:p w:rsidR="006F34DA" w:rsidRPr="003B71C1" w:rsidRDefault="006F34DA" w:rsidP="00AE0319">
            <w:pPr>
              <w:rPr>
                <w:i/>
              </w:rPr>
            </w:pPr>
            <w:r w:rsidRPr="003B71C1">
              <w:rPr>
                <w:i/>
              </w:rPr>
              <w:t>Regulated Emissions Units</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jc w:val="center"/>
            </w:pPr>
            <w:r w:rsidRPr="003B71C1">
              <w:t>010</w:t>
            </w:r>
          </w:p>
        </w:tc>
        <w:tc>
          <w:tcPr>
            <w:tcW w:w="855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rPr>
                <w:i/>
                <w:highlight w:val="green"/>
              </w:rPr>
            </w:pPr>
            <w:r w:rsidRPr="003B71C1">
              <w:t>Landfill Gas (LFG)-Fired Turbines</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jc w:val="center"/>
              <w:rPr>
                <w:highlight w:val="green"/>
              </w:rPr>
            </w:pPr>
            <w:r w:rsidRPr="003B71C1">
              <w:t>011</w:t>
            </w:r>
          </w:p>
        </w:tc>
        <w:tc>
          <w:tcPr>
            <w:tcW w:w="855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rPr>
                <w:highlight w:val="green"/>
              </w:rPr>
            </w:pPr>
            <w:r w:rsidRPr="003B71C1">
              <w:t>MSW Class I Landfill with Gas Extraction</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012</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rPr>
                <w:i/>
              </w:rPr>
            </w:pPr>
            <w:r w:rsidRPr="003B71C1">
              <w:t>166 Horse Power (HP) Emergency Diesel Generator - Mechanic Shop</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013</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r w:rsidRPr="003B71C1">
              <w:t>635 HP Emergency Diesel Generator - Desulfurization Plant</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014</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r w:rsidRPr="003B71C1">
              <w:t>165 HP Emergency Diesel Generator - Area Office</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015</w:t>
            </w:r>
          </w:p>
        </w:tc>
        <w:tc>
          <w:tcPr>
            <w:tcW w:w="855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rPr>
                <w:highlight w:val="green"/>
              </w:rPr>
            </w:pPr>
            <w:r w:rsidRPr="003B71C1">
              <w:rPr>
                <w:bCs/>
              </w:rPr>
              <w:t>Enclosed Flare (Enclosed Combustor) - South, 4,000 scfm</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016</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rPr>
                <w:i/>
                <w:highlight w:val="green"/>
              </w:rPr>
            </w:pPr>
            <w:r w:rsidRPr="003B71C1">
              <w:rPr>
                <w:bCs/>
              </w:rPr>
              <w:t>Enclosed Flare (Enclosed Combustor) - North, 6,000 scfm</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rsidRPr="003B71C1">
              <w:t>017</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r w:rsidRPr="003B71C1">
              <w:t>Open</w:t>
            </w:r>
            <w:r w:rsidRPr="003B71C1">
              <w:rPr>
                <w:bCs/>
              </w:rPr>
              <w:t xml:space="preserve"> Flare - 5,100 scfm</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pPr>
              <w:jc w:val="center"/>
            </w:pPr>
            <w:r>
              <w:t>018</w:t>
            </w:r>
          </w:p>
        </w:tc>
        <w:tc>
          <w:tcPr>
            <w:tcW w:w="8555" w:type="dxa"/>
            <w:tcBorders>
              <w:top w:val="single" w:sz="6" w:space="0" w:color="auto"/>
              <w:left w:val="single" w:sz="12" w:space="0" w:color="auto"/>
              <w:bottom w:val="single" w:sz="6" w:space="0" w:color="auto"/>
              <w:right w:val="single" w:sz="12" w:space="0" w:color="auto"/>
            </w:tcBorders>
          </w:tcPr>
          <w:p w:rsidR="006F34DA" w:rsidRPr="003B71C1" w:rsidRDefault="006F34DA" w:rsidP="00AE0319">
            <w:r>
              <w:t>3,000 scfm Mobile Backup Open Flare</w:t>
            </w:r>
          </w:p>
        </w:tc>
      </w:tr>
      <w:tr w:rsidR="006F34DA" w:rsidRPr="003B71C1" w:rsidTr="00AE0319">
        <w:tc>
          <w:tcPr>
            <w:tcW w:w="9960" w:type="dxa"/>
            <w:gridSpan w:val="2"/>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r w:rsidRPr="003B71C1">
              <w:rPr>
                <w:i/>
              </w:rPr>
              <w:t>Unregulated Emissions Units</w:t>
            </w:r>
          </w:p>
        </w:tc>
      </w:tr>
      <w:tr w:rsidR="006F34DA" w:rsidRPr="003B71C1" w:rsidTr="00AE0319">
        <w:tc>
          <w:tcPr>
            <w:tcW w:w="140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pPr>
              <w:jc w:val="center"/>
            </w:pPr>
            <w:r w:rsidRPr="003B71C1">
              <w:t>007</w:t>
            </w:r>
          </w:p>
        </w:tc>
        <w:tc>
          <w:tcPr>
            <w:tcW w:w="8555" w:type="dxa"/>
            <w:tcBorders>
              <w:top w:val="single" w:sz="6" w:space="0" w:color="auto"/>
              <w:left w:val="single" w:sz="12" w:space="0" w:color="auto"/>
              <w:bottom w:val="single" w:sz="6" w:space="0" w:color="auto"/>
              <w:right w:val="single" w:sz="12" w:space="0" w:color="auto"/>
            </w:tcBorders>
            <w:hideMark/>
          </w:tcPr>
          <w:p w:rsidR="006F34DA" w:rsidRPr="003B71C1" w:rsidRDefault="006F34DA" w:rsidP="00AE0319">
            <w:r w:rsidRPr="003B71C1">
              <w:t>Fugitive NMOC &amp; HAP Emissions from MSW Landfill</w:t>
            </w:r>
          </w:p>
        </w:tc>
      </w:tr>
      <w:tr w:rsidR="006F34DA" w:rsidRPr="003B71C1" w:rsidTr="00AE0319">
        <w:tc>
          <w:tcPr>
            <w:tcW w:w="1405" w:type="dxa"/>
            <w:tcBorders>
              <w:top w:val="single" w:sz="6" w:space="0" w:color="auto"/>
              <w:left w:val="single" w:sz="12" w:space="0" w:color="auto"/>
              <w:bottom w:val="single" w:sz="12" w:space="0" w:color="auto"/>
              <w:right w:val="single" w:sz="12" w:space="0" w:color="auto"/>
            </w:tcBorders>
            <w:hideMark/>
          </w:tcPr>
          <w:p w:rsidR="006F34DA" w:rsidRPr="003B71C1" w:rsidRDefault="006F34DA" w:rsidP="00AE0319">
            <w:pPr>
              <w:jc w:val="center"/>
            </w:pPr>
            <w:r w:rsidRPr="003B71C1">
              <w:t>009</w:t>
            </w:r>
          </w:p>
        </w:tc>
        <w:tc>
          <w:tcPr>
            <w:tcW w:w="8555" w:type="dxa"/>
            <w:tcBorders>
              <w:top w:val="single" w:sz="6" w:space="0" w:color="auto"/>
              <w:left w:val="single" w:sz="12" w:space="0" w:color="auto"/>
              <w:bottom w:val="single" w:sz="12" w:space="0" w:color="auto"/>
              <w:right w:val="single" w:sz="12" w:space="0" w:color="auto"/>
            </w:tcBorders>
            <w:hideMark/>
          </w:tcPr>
          <w:p w:rsidR="006F34DA" w:rsidRPr="003B71C1" w:rsidRDefault="006F34DA" w:rsidP="00AE0319">
            <w:r w:rsidRPr="003B71C1">
              <w:t>Fugitive PM Emissions from Vehicular Traffic</w:t>
            </w:r>
          </w:p>
        </w:tc>
      </w:tr>
    </w:tbl>
    <w:p w:rsidR="00193F10" w:rsidRPr="001923DF" w:rsidRDefault="001C4E37" w:rsidP="001923DF">
      <w:pPr>
        <w:pStyle w:val="ListParagraph"/>
        <w:numPr>
          <w:ilvl w:val="1"/>
          <w:numId w:val="6"/>
        </w:numPr>
        <w:spacing w:before="120" w:after="120"/>
        <w:ind w:left="720" w:hanging="720"/>
        <w:contextualSpacing w:val="0"/>
        <w:rPr>
          <w:b/>
          <w:bCs/>
          <w:sz w:val="22"/>
          <w:szCs w:val="22"/>
        </w:rPr>
      </w:pPr>
      <w:r w:rsidRPr="001923DF">
        <w:rPr>
          <w:b/>
          <w:bCs/>
          <w:sz w:val="22"/>
          <w:szCs w:val="22"/>
        </w:rPr>
        <w:t xml:space="preserve">Facility </w:t>
      </w:r>
      <w:r w:rsidR="00193F10" w:rsidRPr="001923DF">
        <w:rPr>
          <w:b/>
          <w:bCs/>
          <w:sz w:val="22"/>
          <w:szCs w:val="22"/>
        </w:rPr>
        <w:t>Regulatory Categories</w:t>
      </w:r>
    </w:p>
    <w:p w:rsidR="00DB63CF" w:rsidRPr="00037F6F" w:rsidRDefault="00DB63CF" w:rsidP="00DB63CF">
      <w:pPr>
        <w:numPr>
          <w:ilvl w:val="0"/>
          <w:numId w:val="3"/>
        </w:numPr>
        <w:spacing w:after="120"/>
        <w:rPr>
          <w:sz w:val="22"/>
          <w:szCs w:val="22"/>
        </w:rPr>
      </w:pPr>
      <w:bookmarkStart w:id="4" w:name="_Hlk520707781"/>
      <w:r w:rsidRPr="00877418">
        <w:rPr>
          <w:sz w:val="22"/>
          <w:szCs w:val="22"/>
        </w:rPr>
        <w:t xml:space="preserve">The facility </w:t>
      </w:r>
      <w:r w:rsidRPr="00037F6F">
        <w:rPr>
          <w:sz w:val="22"/>
          <w:szCs w:val="22"/>
        </w:rPr>
        <w:t>is not a major source of HAP.</w:t>
      </w:r>
    </w:p>
    <w:p w:rsidR="00DB63CF" w:rsidRPr="00037F6F" w:rsidRDefault="00DB63CF" w:rsidP="00DB63CF">
      <w:pPr>
        <w:pStyle w:val="BodyText"/>
        <w:numPr>
          <w:ilvl w:val="0"/>
          <w:numId w:val="3"/>
        </w:numPr>
        <w:rPr>
          <w:sz w:val="22"/>
          <w:szCs w:val="22"/>
        </w:rPr>
      </w:pPr>
      <w:r w:rsidRPr="00037F6F">
        <w:rPr>
          <w:sz w:val="22"/>
          <w:szCs w:val="22"/>
        </w:rPr>
        <w:t>The facility does not operate units subject to the acid rain provisions of the Clean Air Act.</w:t>
      </w:r>
    </w:p>
    <w:p w:rsidR="00DB63CF" w:rsidRDefault="00DB63CF" w:rsidP="00DB63CF">
      <w:pPr>
        <w:numPr>
          <w:ilvl w:val="0"/>
          <w:numId w:val="3"/>
        </w:numPr>
        <w:spacing w:after="120"/>
        <w:rPr>
          <w:sz w:val="22"/>
          <w:szCs w:val="22"/>
        </w:rPr>
      </w:pPr>
      <w:r w:rsidRPr="00037F6F">
        <w:rPr>
          <w:sz w:val="22"/>
          <w:szCs w:val="22"/>
        </w:rPr>
        <w:t>The facility is a Title V major</w:t>
      </w:r>
      <w:r w:rsidRPr="00877418">
        <w:rPr>
          <w:sz w:val="22"/>
          <w:szCs w:val="22"/>
        </w:rPr>
        <w:t xml:space="preserve"> source of air pollution in accordance with Chapter </w:t>
      </w:r>
      <w:r>
        <w:rPr>
          <w:sz w:val="22"/>
          <w:szCs w:val="22"/>
        </w:rPr>
        <w:t>62-</w:t>
      </w:r>
      <w:r w:rsidRPr="00877418">
        <w:rPr>
          <w:sz w:val="22"/>
          <w:szCs w:val="22"/>
        </w:rPr>
        <w:t>213, F.A.C.</w:t>
      </w:r>
    </w:p>
    <w:p w:rsidR="00DB63CF" w:rsidRDefault="00DB63CF" w:rsidP="00DB63CF">
      <w:pPr>
        <w:numPr>
          <w:ilvl w:val="0"/>
          <w:numId w:val="3"/>
        </w:numPr>
        <w:spacing w:after="120"/>
        <w:rPr>
          <w:sz w:val="22"/>
          <w:szCs w:val="22"/>
        </w:rPr>
      </w:pPr>
      <w:r w:rsidRPr="00877418">
        <w:rPr>
          <w:sz w:val="22"/>
          <w:szCs w:val="22"/>
        </w:rPr>
        <w:t xml:space="preserve">The facility </w:t>
      </w:r>
      <w:r w:rsidRPr="001930CF">
        <w:rPr>
          <w:sz w:val="22"/>
          <w:szCs w:val="22"/>
        </w:rPr>
        <w:t xml:space="preserve">is </w:t>
      </w:r>
      <w:r w:rsidRPr="00877418">
        <w:rPr>
          <w:sz w:val="22"/>
          <w:szCs w:val="22"/>
        </w:rPr>
        <w:t xml:space="preserve">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DB63CF" w:rsidRPr="00BC3043" w:rsidRDefault="00DB63CF" w:rsidP="00DB63CF">
      <w:pPr>
        <w:pStyle w:val="BodyText2"/>
        <w:numPr>
          <w:ilvl w:val="0"/>
          <w:numId w:val="3"/>
        </w:numPr>
        <w:rPr>
          <w:szCs w:val="22"/>
        </w:rPr>
      </w:pPr>
      <w:r w:rsidRPr="00BC3043">
        <w:rPr>
          <w:szCs w:val="22"/>
        </w:rPr>
        <w:t>The facility operates units subject to the NSPS.</w:t>
      </w:r>
    </w:p>
    <w:p w:rsidR="00DB63CF" w:rsidRPr="00003025" w:rsidRDefault="00DB63CF" w:rsidP="00DB63CF">
      <w:pPr>
        <w:numPr>
          <w:ilvl w:val="0"/>
          <w:numId w:val="3"/>
        </w:numPr>
        <w:spacing w:after="120"/>
        <w:rPr>
          <w:sz w:val="22"/>
          <w:szCs w:val="22"/>
        </w:rPr>
      </w:pPr>
      <w:r w:rsidRPr="00BC3043">
        <w:rPr>
          <w:sz w:val="22"/>
          <w:szCs w:val="22"/>
        </w:rPr>
        <w:t>The facility operates units subject to the NESHAP.</w:t>
      </w:r>
    </w:p>
    <w:bookmarkEnd w:id="4"/>
    <w:p w:rsidR="00193F10" w:rsidRPr="001923DF" w:rsidRDefault="00193F10" w:rsidP="001923DF">
      <w:pPr>
        <w:pStyle w:val="ListParagraph"/>
        <w:numPr>
          <w:ilvl w:val="1"/>
          <w:numId w:val="6"/>
        </w:numPr>
        <w:spacing w:after="120"/>
        <w:ind w:left="720" w:hanging="720"/>
        <w:contextualSpacing w:val="0"/>
        <w:rPr>
          <w:b/>
          <w:bCs/>
          <w:sz w:val="22"/>
          <w:szCs w:val="22"/>
        </w:rPr>
      </w:pPr>
      <w:r w:rsidRPr="001923DF">
        <w:rPr>
          <w:b/>
          <w:bCs/>
          <w:sz w:val="22"/>
          <w:szCs w:val="22"/>
        </w:rPr>
        <w:t>Project Description</w:t>
      </w:r>
    </w:p>
    <w:p w:rsidR="00C12B4B" w:rsidRDefault="00C12B4B" w:rsidP="00E349CF">
      <w:pPr>
        <w:pStyle w:val="BodyText2"/>
        <w:jc w:val="left"/>
        <w:rPr>
          <w:szCs w:val="22"/>
        </w:rPr>
      </w:pPr>
      <w:bookmarkStart w:id="5" w:name="_Hlk520707648"/>
      <w:r w:rsidRPr="008456F9">
        <w:t xml:space="preserve">The applicant submitted an application to the Department on </w:t>
      </w:r>
      <w:r w:rsidR="0054332D">
        <w:t>June 21, 2018</w:t>
      </w:r>
      <w:r w:rsidRPr="008456F9">
        <w:t>, (</w:t>
      </w:r>
      <w:hyperlink r:id="rId12" w:history="1">
        <w:r w:rsidRPr="00C715F6">
          <w:rPr>
            <w:rStyle w:val="Hyperlink"/>
          </w:rPr>
          <w:t>Link to application</w:t>
        </w:r>
      </w:hyperlink>
      <w:r w:rsidRPr="008456F9">
        <w:t>) requesting</w:t>
      </w:r>
      <w:r>
        <w:t xml:space="preserve"> authorization to install </w:t>
      </w:r>
      <w:r w:rsidRPr="008456F9">
        <w:t xml:space="preserve">a </w:t>
      </w:r>
      <w:bookmarkStart w:id="6" w:name="_Hlk520707314"/>
      <w:r w:rsidRPr="008456F9">
        <w:t>3,000 standa</w:t>
      </w:r>
      <w:r>
        <w:t xml:space="preserve">rd cubic feet per minute (scfm) </w:t>
      </w:r>
      <w:r w:rsidR="00E349CF">
        <w:t>open</w:t>
      </w:r>
      <w:r w:rsidRPr="008456F9">
        <w:t xml:space="preserve"> flare </w:t>
      </w:r>
      <w:r w:rsidR="00E349CF">
        <w:t>with flow limited to 12- month rolling total of 1,156.32 million standard cubic feet (MMscf)</w:t>
      </w:r>
      <w:bookmarkEnd w:id="6"/>
      <w:r w:rsidRPr="008456F9">
        <w:t>.</w:t>
      </w:r>
      <w:r w:rsidR="00E349CF">
        <w:t xml:space="preserve">  The applicant also proposes to install a </w:t>
      </w:r>
      <w:bookmarkStart w:id="7" w:name="_Hlk520707377"/>
      <w:r w:rsidR="00E349CF">
        <w:t>sulfur treatment system upstream of the flare to remove hydrogen sulfide (H</w:t>
      </w:r>
      <w:r w:rsidR="00E349CF" w:rsidRPr="00E349CF">
        <w:rPr>
          <w:vertAlign w:val="subscript"/>
        </w:rPr>
        <w:t>2</w:t>
      </w:r>
      <w:r w:rsidR="00E349CF">
        <w:t>S) prior to combustion to minimize emissions of sulfur dioxide (SO</w:t>
      </w:r>
      <w:r w:rsidR="00E349CF" w:rsidRPr="00E349CF">
        <w:rPr>
          <w:vertAlign w:val="subscript"/>
        </w:rPr>
        <w:t>2</w:t>
      </w:r>
      <w:r w:rsidR="00E349CF">
        <w:t>)</w:t>
      </w:r>
      <w:bookmarkEnd w:id="7"/>
      <w:r w:rsidR="00E349CF">
        <w:t>.</w:t>
      </w:r>
      <w:bookmarkEnd w:id="5"/>
      <w:r>
        <w:t xml:space="preserve">  </w:t>
      </w:r>
      <w:r w:rsidRPr="006574C5">
        <w:rPr>
          <w:b/>
        </w:rPr>
        <w:fldChar w:fldCharType="begin"/>
      </w:r>
      <w:r w:rsidRPr="006574C5">
        <w:rPr>
          <w:b/>
        </w:rPr>
        <w:instrText xml:space="preserve"> REF _Ref470607146 \h </w:instrText>
      </w:r>
      <w:r>
        <w:rPr>
          <w:b/>
        </w:rPr>
        <w:instrText xml:space="preserve"> \* MERGEFORMAT </w:instrText>
      </w:r>
      <w:r w:rsidRPr="006574C5">
        <w:rPr>
          <w:b/>
        </w:rPr>
      </w:r>
      <w:r w:rsidRPr="006574C5">
        <w:rPr>
          <w:b/>
        </w:rPr>
        <w:fldChar w:fldCharType="separate"/>
      </w:r>
      <w:r w:rsidRPr="006574C5">
        <w:rPr>
          <w:b/>
        </w:rPr>
        <w:t xml:space="preserve">Table </w:t>
      </w:r>
      <w:r w:rsidRPr="006574C5">
        <w:rPr>
          <w:b/>
          <w:noProof/>
        </w:rPr>
        <w:t>2</w:t>
      </w:r>
      <w:r w:rsidRPr="006574C5">
        <w:rPr>
          <w:b/>
        </w:rPr>
        <w:fldChar w:fldCharType="end"/>
      </w:r>
      <w:r w:rsidRPr="006574C5">
        <w:rPr>
          <w:b/>
        </w:rPr>
        <w:t xml:space="preserve"> </w:t>
      </w:r>
      <w:r>
        <w:t xml:space="preserve">lists the EU that will be </w:t>
      </w:r>
      <w:r>
        <w:rPr>
          <w:szCs w:val="22"/>
        </w:rPr>
        <w:t>added by this project.</w:t>
      </w:r>
    </w:p>
    <w:p w:rsidR="00C12B4B" w:rsidRPr="00932FEE" w:rsidRDefault="00C12B4B" w:rsidP="00C12B4B">
      <w:pPr>
        <w:pStyle w:val="Caption"/>
        <w:spacing w:after="60"/>
        <w:jc w:val="center"/>
        <w:rPr>
          <w:b/>
          <w:i w:val="0"/>
          <w:caps/>
          <w:color w:val="auto"/>
          <w:sz w:val="22"/>
          <w:szCs w:val="22"/>
        </w:rPr>
      </w:pPr>
      <w:bookmarkStart w:id="8" w:name="_Ref470607146"/>
      <w:r w:rsidRPr="00932FEE">
        <w:rPr>
          <w:b/>
          <w:i w:val="0"/>
          <w:caps/>
          <w:color w:val="auto"/>
          <w:sz w:val="22"/>
          <w:szCs w:val="22"/>
        </w:rPr>
        <w:t xml:space="preserve">Table </w:t>
      </w:r>
      <w:r w:rsidRPr="00932FEE">
        <w:rPr>
          <w:b/>
          <w:i w:val="0"/>
          <w:caps/>
          <w:color w:val="auto"/>
          <w:sz w:val="22"/>
          <w:szCs w:val="22"/>
        </w:rPr>
        <w:fldChar w:fldCharType="begin"/>
      </w:r>
      <w:r w:rsidRPr="00932FEE">
        <w:rPr>
          <w:b/>
          <w:i w:val="0"/>
          <w:caps/>
          <w:color w:val="auto"/>
          <w:sz w:val="22"/>
          <w:szCs w:val="22"/>
        </w:rPr>
        <w:instrText xml:space="preserve"> SEQ Table \* ARABIC </w:instrText>
      </w:r>
      <w:r w:rsidRPr="00932FEE">
        <w:rPr>
          <w:b/>
          <w:i w:val="0"/>
          <w:caps/>
          <w:color w:val="auto"/>
          <w:sz w:val="22"/>
          <w:szCs w:val="22"/>
        </w:rPr>
        <w:fldChar w:fldCharType="separate"/>
      </w:r>
      <w:r w:rsidRPr="00932FEE">
        <w:rPr>
          <w:b/>
          <w:i w:val="0"/>
          <w:caps/>
          <w:noProof/>
          <w:color w:val="auto"/>
          <w:sz w:val="22"/>
          <w:szCs w:val="22"/>
        </w:rPr>
        <w:t>2</w:t>
      </w:r>
      <w:r w:rsidRPr="00932FEE">
        <w:rPr>
          <w:b/>
          <w:i w:val="0"/>
          <w:caps/>
          <w:color w:val="auto"/>
          <w:sz w:val="22"/>
          <w:szCs w:val="22"/>
        </w:rPr>
        <w:fldChar w:fldCharType="end"/>
      </w:r>
      <w:bookmarkEnd w:id="8"/>
      <w:r>
        <w:rPr>
          <w:b/>
          <w:i w:val="0"/>
          <w:caps/>
          <w:color w:val="auto"/>
          <w:sz w:val="22"/>
          <w:szCs w:val="22"/>
        </w:rPr>
        <w:t xml:space="preserve"> - </w:t>
      </w:r>
      <w:r w:rsidRPr="00932FEE">
        <w:rPr>
          <w:b/>
          <w:i w:val="0"/>
          <w:caps/>
          <w:color w:val="auto"/>
          <w:sz w:val="22"/>
          <w:szCs w:val="22"/>
        </w:rPr>
        <w:t>EU Added by this Project</w:t>
      </w:r>
      <w:r>
        <w:rPr>
          <w:b/>
          <w:i w:val="0"/>
          <w:caps/>
          <w:color w:val="auto"/>
          <w:sz w:val="22"/>
          <w:szCs w:val="22"/>
        </w:rPr>
        <w:t>.</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C12B4B" w:rsidRPr="000616EB" w:rsidTr="00AE0319">
        <w:tc>
          <w:tcPr>
            <w:tcW w:w="1035" w:type="dxa"/>
            <w:tcBorders>
              <w:bottom w:val="single" w:sz="12" w:space="0" w:color="auto"/>
            </w:tcBorders>
            <w:shd w:val="clear" w:color="auto" w:fill="B8CCE4" w:themeFill="accent1" w:themeFillTint="66"/>
          </w:tcPr>
          <w:p w:rsidR="00C12B4B" w:rsidRPr="00E90AE3" w:rsidRDefault="00C12B4B" w:rsidP="00AE0319">
            <w:pPr>
              <w:pStyle w:val="BodyText2"/>
              <w:widowControl w:val="0"/>
              <w:numPr>
                <w:ilvl w:val="0"/>
                <w:numId w:val="0"/>
              </w:numPr>
              <w:spacing w:after="0"/>
              <w:jc w:val="center"/>
              <w:rPr>
                <w:b/>
                <w:sz w:val="20"/>
              </w:rPr>
            </w:pPr>
            <w:r>
              <w:rPr>
                <w:b/>
                <w:sz w:val="20"/>
              </w:rPr>
              <w:t>EU</w:t>
            </w:r>
            <w:r w:rsidRPr="00E90AE3">
              <w:rPr>
                <w:b/>
                <w:sz w:val="20"/>
              </w:rPr>
              <w:t xml:space="preserve"> No.</w:t>
            </w:r>
          </w:p>
        </w:tc>
        <w:tc>
          <w:tcPr>
            <w:tcW w:w="8900" w:type="dxa"/>
            <w:tcBorders>
              <w:bottom w:val="single" w:sz="12" w:space="0" w:color="auto"/>
            </w:tcBorders>
            <w:shd w:val="clear" w:color="auto" w:fill="B8CCE4" w:themeFill="accent1" w:themeFillTint="66"/>
          </w:tcPr>
          <w:p w:rsidR="00C12B4B" w:rsidRPr="00E90AE3" w:rsidRDefault="00C12B4B" w:rsidP="00AE0319">
            <w:pPr>
              <w:pStyle w:val="BodyText2"/>
              <w:widowControl w:val="0"/>
              <w:numPr>
                <w:ilvl w:val="0"/>
                <w:numId w:val="0"/>
              </w:numPr>
              <w:spacing w:after="0"/>
              <w:jc w:val="left"/>
              <w:rPr>
                <w:b/>
                <w:sz w:val="20"/>
              </w:rPr>
            </w:pPr>
            <w:r w:rsidRPr="00E90AE3">
              <w:rPr>
                <w:b/>
                <w:sz w:val="20"/>
              </w:rPr>
              <w:t>Description</w:t>
            </w:r>
          </w:p>
        </w:tc>
      </w:tr>
      <w:tr w:rsidR="00C12B4B" w:rsidRPr="000616EB" w:rsidTr="00AE0319">
        <w:tc>
          <w:tcPr>
            <w:tcW w:w="1035" w:type="dxa"/>
            <w:tcBorders>
              <w:top w:val="single" w:sz="8" w:space="0" w:color="auto"/>
            </w:tcBorders>
          </w:tcPr>
          <w:p w:rsidR="00C12B4B" w:rsidRPr="00AE5CF7" w:rsidRDefault="00C001E9" w:rsidP="00AE0319">
            <w:pPr>
              <w:pStyle w:val="BodyText2"/>
              <w:widowControl w:val="0"/>
              <w:numPr>
                <w:ilvl w:val="0"/>
                <w:numId w:val="0"/>
              </w:numPr>
              <w:spacing w:after="0"/>
              <w:jc w:val="center"/>
              <w:rPr>
                <w:sz w:val="20"/>
              </w:rPr>
            </w:pPr>
            <w:bookmarkStart w:id="9" w:name="_Hlk520707747"/>
            <w:r>
              <w:rPr>
                <w:sz w:val="20"/>
              </w:rPr>
              <w:t>019</w:t>
            </w:r>
          </w:p>
        </w:tc>
        <w:tc>
          <w:tcPr>
            <w:tcW w:w="8900" w:type="dxa"/>
            <w:tcBorders>
              <w:top w:val="single" w:sz="8" w:space="0" w:color="auto"/>
            </w:tcBorders>
          </w:tcPr>
          <w:p w:rsidR="00C12B4B" w:rsidRPr="00AE5CF7" w:rsidRDefault="00C0069C" w:rsidP="00AE0319">
            <w:pPr>
              <w:pStyle w:val="BodyText2"/>
              <w:widowControl w:val="0"/>
              <w:numPr>
                <w:ilvl w:val="0"/>
                <w:numId w:val="0"/>
              </w:numPr>
              <w:spacing w:after="0"/>
              <w:jc w:val="left"/>
              <w:rPr>
                <w:sz w:val="20"/>
              </w:rPr>
            </w:pPr>
            <w:r>
              <w:rPr>
                <w:sz w:val="20"/>
              </w:rPr>
              <w:t xml:space="preserve">3,000 scfm </w:t>
            </w:r>
            <w:r w:rsidR="007940A0">
              <w:rPr>
                <w:sz w:val="20"/>
              </w:rPr>
              <w:t>Limited Flow Open Flare</w:t>
            </w:r>
          </w:p>
        </w:tc>
      </w:tr>
    </w:tbl>
    <w:bookmarkEnd w:id="9"/>
    <w:p w:rsidR="001C4E37" w:rsidRPr="001923DF" w:rsidRDefault="001C4E37" w:rsidP="001923DF">
      <w:pPr>
        <w:pStyle w:val="ListParagraph"/>
        <w:numPr>
          <w:ilvl w:val="1"/>
          <w:numId w:val="6"/>
        </w:numPr>
        <w:spacing w:before="120" w:after="120"/>
        <w:ind w:left="720" w:hanging="720"/>
        <w:contextualSpacing w:val="0"/>
        <w:rPr>
          <w:b/>
          <w:bCs/>
          <w:sz w:val="22"/>
          <w:szCs w:val="22"/>
        </w:rPr>
      </w:pPr>
      <w:r w:rsidRPr="001923DF">
        <w:rPr>
          <w:b/>
          <w:bCs/>
          <w:sz w:val="22"/>
          <w:szCs w:val="22"/>
        </w:rPr>
        <w:t>Processing Schedule</w:t>
      </w:r>
    </w:p>
    <w:p w:rsidR="001D66D6" w:rsidRPr="00730F9C" w:rsidRDefault="00051C12" w:rsidP="00051C12">
      <w:pPr>
        <w:pStyle w:val="BodyText"/>
        <w:widowControl w:val="0"/>
        <w:numPr>
          <w:ilvl w:val="12"/>
          <w:numId w:val="0"/>
        </w:numPr>
        <w:tabs>
          <w:tab w:val="left" w:pos="1260"/>
        </w:tabs>
        <w:rPr>
          <w:sz w:val="22"/>
          <w:szCs w:val="22"/>
        </w:rPr>
      </w:pPr>
      <w:r>
        <w:rPr>
          <w:sz w:val="22"/>
          <w:szCs w:val="22"/>
        </w:rPr>
        <w:t>06/21/2018</w:t>
      </w:r>
      <w:r w:rsidR="001D66D6" w:rsidRPr="00730F9C">
        <w:rPr>
          <w:sz w:val="22"/>
          <w:szCs w:val="22"/>
        </w:rPr>
        <w:tab/>
        <w:t>Department received the application for a</w:t>
      </w:r>
      <w:r w:rsidR="001D66D6">
        <w:rPr>
          <w:sz w:val="22"/>
          <w:szCs w:val="22"/>
        </w:rPr>
        <w:t>n</w:t>
      </w:r>
      <w:r w:rsidR="001D66D6" w:rsidRPr="00730F9C">
        <w:rPr>
          <w:sz w:val="22"/>
          <w:szCs w:val="22"/>
        </w:rPr>
        <w:t xml:space="preserve"> air pollution construction permit.</w:t>
      </w:r>
    </w:p>
    <w:p w:rsidR="001D66D6" w:rsidRPr="00730F9C" w:rsidRDefault="00051C12" w:rsidP="00051C12">
      <w:pPr>
        <w:pStyle w:val="BodyText"/>
        <w:widowControl w:val="0"/>
        <w:numPr>
          <w:ilvl w:val="12"/>
          <w:numId w:val="0"/>
        </w:numPr>
        <w:tabs>
          <w:tab w:val="left" w:pos="1260"/>
        </w:tabs>
        <w:rPr>
          <w:sz w:val="22"/>
          <w:szCs w:val="22"/>
        </w:rPr>
      </w:pPr>
      <w:r w:rsidRPr="001923DF">
        <w:rPr>
          <w:sz w:val="22"/>
          <w:szCs w:val="22"/>
        </w:rPr>
        <w:t>0</w:t>
      </w:r>
      <w:r w:rsidR="004802E0" w:rsidRPr="001923DF">
        <w:rPr>
          <w:sz w:val="22"/>
          <w:szCs w:val="22"/>
        </w:rPr>
        <w:t>8</w:t>
      </w:r>
      <w:r w:rsidRPr="001923DF">
        <w:rPr>
          <w:sz w:val="22"/>
          <w:szCs w:val="22"/>
        </w:rPr>
        <w:t>/</w:t>
      </w:r>
      <w:r w:rsidR="001923DF" w:rsidRPr="001923DF">
        <w:rPr>
          <w:sz w:val="22"/>
          <w:szCs w:val="22"/>
        </w:rPr>
        <w:t>02</w:t>
      </w:r>
      <w:r w:rsidRPr="001923DF">
        <w:rPr>
          <w:sz w:val="22"/>
          <w:szCs w:val="22"/>
        </w:rPr>
        <w:t>/2018</w:t>
      </w:r>
      <w:r w:rsidR="001D66D6" w:rsidRPr="00730F9C">
        <w:rPr>
          <w:sz w:val="22"/>
          <w:szCs w:val="22"/>
        </w:rPr>
        <w:tab/>
      </w:r>
      <w:r w:rsidRPr="00343990">
        <w:rPr>
          <w:sz w:val="22"/>
          <w:szCs w:val="22"/>
        </w:rPr>
        <w:t>Draft permit issued</w:t>
      </w:r>
      <w:r w:rsidR="001D66D6" w:rsidRPr="00730F9C">
        <w:rPr>
          <w:sz w:val="22"/>
          <w:szCs w:val="22"/>
        </w:rPr>
        <w:t>.</w:t>
      </w:r>
    </w:p>
    <w:p w:rsidR="00193F10" w:rsidRPr="000D2FBE" w:rsidRDefault="00D51D78" w:rsidP="000D2FBE">
      <w:pPr>
        <w:pStyle w:val="ListParagraph"/>
        <w:numPr>
          <w:ilvl w:val="0"/>
          <w:numId w:val="6"/>
        </w:numPr>
        <w:spacing w:after="120"/>
        <w:ind w:left="720" w:hanging="720"/>
        <w:contextualSpacing w:val="0"/>
        <w:rPr>
          <w:b/>
          <w:caps/>
          <w:sz w:val="22"/>
          <w:szCs w:val="22"/>
        </w:rPr>
      </w:pPr>
      <w:r>
        <w:rPr>
          <w:b/>
          <w:caps/>
          <w:sz w:val="22"/>
        </w:rPr>
        <w:t>PSD Applicability</w:t>
      </w:r>
    </w:p>
    <w:p w:rsidR="00D51D78" w:rsidRPr="000D2FBE" w:rsidRDefault="00D51D78" w:rsidP="000D2FBE">
      <w:pPr>
        <w:pStyle w:val="ListParagraph"/>
        <w:numPr>
          <w:ilvl w:val="1"/>
          <w:numId w:val="6"/>
        </w:numPr>
        <w:spacing w:after="120"/>
        <w:ind w:left="720" w:hanging="720"/>
        <w:contextualSpacing w:val="0"/>
        <w:rPr>
          <w:b/>
          <w:caps/>
          <w:sz w:val="22"/>
          <w:szCs w:val="22"/>
        </w:rPr>
      </w:pPr>
      <w:r w:rsidRPr="00193F10">
        <w:rPr>
          <w:b/>
          <w:sz w:val="22"/>
        </w:rPr>
        <w:t xml:space="preserve">General </w:t>
      </w:r>
      <w:r>
        <w:rPr>
          <w:b/>
          <w:sz w:val="22"/>
        </w:rPr>
        <w:t xml:space="preserve">PSD </w:t>
      </w:r>
      <w:r w:rsidRPr="00193F10">
        <w:rPr>
          <w:b/>
          <w:sz w:val="22"/>
        </w:rPr>
        <w:t>Applicability</w:t>
      </w:r>
    </w:p>
    <w:p w:rsidR="004D1D9F" w:rsidRPr="00CA5301" w:rsidRDefault="006B6EFE" w:rsidP="003F1AFB">
      <w:pPr>
        <w:pStyle w:val="BodyText"/>
        <w:widowControl w:val="0"/>
        <w:rPr>
          <w:sz w:val="22"/>
        </w:rPr>
      </w:pPr>
      <w:r w:rsidRPr="00CA5301">
        <w:rPr>
          <w:sz w:val="22"/>
        </w:rPr>
        <w:t>For areas currently in attainment with the AAQS or areas otherwise designated as unclassifiable, t</w:t>
      </w:r>
      <w:r w:rsidR="00D51D78" w:rsidRPr="00CA5301">
        <w:rPr>
          <w:sz w:val="22"/>
        </w:rPr>
        <w:t>he Department regulates major stationary sources of air pollution in accordance with Florida’s PSD preconstruction review program as defined in Rule 62-212.400, F.A.C.</w:t>
      </w:r>
      <w:r w:rsidR="00BC5729" w:rsidRPr="00CA5301">
        <w:rPr>
          <w:sz w:val="22"/>
        </w:rPr>
        <w:t xml:space="preserve">  Under preconstruction review, the Department first must determine if a project is subject to the PSD requirements (“PSD applicability review”) and, if so, must conduct a PSD preconstruction review.  </w:t>
      </w:r>
      <w:r w:rsidR="00D51D78" w:rsidRPr="00CA5301">
        <w:rPr>
          <w:sz w:val="22"/>
        </w:rPr>
        <w:t xml:space="preserve">A PSD applicability review is required </w:t>
      </w:r>
      <w:r w:rsidR="00BC5729" w:rsidRPr="00CA5301">
        <w:rPr>
          <w:sz w:val="22"/>
        </w:rPr>
        <w:t xml:space="preserve">for projects at new and existing major stationary sources.  </w:t>
      </w:r>
      <w:r w:rsidRPr="00CA5301">
        <w:rPr>
          <w:sz w:val="22"/>
        </w:rPr>
        <w:t xml:space="preserve">In addition, proposed projects at existing minor sources are subject to a PSD applicability review to determine whether potential emissions </w:t>
      </w:r>
      <w:r w:rsidRPr="00CA5301">
        <w:rPr>
          <w:i/>
          <w:sz w:val="22"/>
        </w:rPr>
        <w:t>from the proposed project itself</w:t>
      </w:r>
      <w:r w:rsidRPr="00CA5301">
        <w:rPr>
          <w:sz w:val="22"/>
        </w:rPr>
        <w:t xml:space="preserve"> will exceed the PSD major stationary source thresholds.  </w:t>
      </w:r>
      <w:r w:rsidR="00D51D78" w:rsidRPr="00CA5301">
        <w:rPr>
          <w:sz w:val="22"/>
        </w:rPr>
        <w:t>A facility is considered a major stationary source with respect to PSD if it emits or has the potential to emit:</w:t>
      </w:r>
    </w:p>
    <w:p w:rsidR="004D1D9F" w:rsidRPr="00CA5301" w:rsidRDefault="00D51D78" w:rsidP="004D1D9F">
      <w:pPr>
        <w:pStyle w:val="BodyText"/>
        <w:widowControl w:val="0"/>
        <w:numPr>
          <w:ilvl w:val="0"/>
          <w:numId w:val="5"/>
        </w:numPr>
        <w:rPr>
          <w:sz w:val="22"/>
        </w:rPr>
      </w:pPr>
      <w:r w:rsidRPr="00CA5301">
        <w:rPr>
          <w:sz w:val="22"/>
        </w:rPr>
        <w:t>250 tons per year or more</w:t>
      </w:r>
      <w:r w:rsidR="004414F2" w:rsidRPr="00CA5301">
        <w:rPr>
          <w:sz w:val="22"/>
        </w:rPr>
        <w:t xml:space="preserve"> of any regulated air pollutant;</w:t>
      </w:r>
      <w:r w:rsidRPr="00CA5301">
        <w:rPr>
          <w:sz w:val="22"/>
        </w:rPr>
        <w:t xml:space="preserve"> </w:t>
      </w:r>
      <w:r w:rsidR="002A28C2" w:rsidRPr="00CA5301">
        <w:rPr>
          <w:sz w:val="22"/>
        </w:rPr>
        <w:t>or</w:t>
      </w:r>
    </w:p>
    <w:p w:rsidR="004D1D9F" w:rsidRPr="00CA5301" w:rsidRDefault="00D51D78" w:rsidP="004D1D9F">
      <w:pPr>
        <w:pStyle w:val="BodyText"/>
        <w:widowControl w:val="0"/>
        <w:numPr>
          <w:ilvl w:val="0"/>
          <w:numId w:val="5"/>
        </w:numPr>
        <w:rPr>
          <w:sz w:val="22"/>
        </w:rPr>
      </w:pPr>
      <w:r w:rsidRPr="00CA5301">
        <w:rPr>
          <w:sz w:val="22"/>
        </w:rPr>
        <w:t>100 tons per year or more of any regulated air pollutant and the facili</w:t>
      </w:r>
      <w:r w:rsidR="00A938D5" w:rsidRPr="00CA5301">
        <w:rPr>
          <w:sz w:val="22"/>
        </w:rPr>
        <w:t xml:space="preserve">ty belongs to one of the </w:t>
      </w:r>
      <w:r w:rsidR="004D1D9F" w:rsidRPr="00CA5301">
        <w:rPr>
          <w:sz w:val="22"/>
        </w:rPr>
        <w:t xml:space="preserve">following </w:t>
      </w:r>
      <w:r w:rsidR="00A938D5" w:rsidRPr="00CA5301">
        <w:rPr>
          <w:sz w:val="22"/>
        </w:rPr>
        <w:t>28 PSD-</w:t>
      </w:r>
      <w:r w:rsidRPr="00CA5301">
        <w:rPr>
          <w:sz w:val="22"/>
        </w:rPr>
        <w:t>major facility categories</w:t>
      </w:r>
      <w:r w:rsidR="004D1D9F" w:rsidRPr="00CA5301">
        <w:rPr>
          <w:sz w:val="22"/>
        </w:rPr>
        <w:t xml:space="preserve">:  </w:t>
      </w:r>
      <w:r w:rsidR="002A28C2" w:rsidRPr="00CA5301">
        <w:rPr>
          <w:sz w:val="22"/>
          <w:szCs w:val="22"/>
        </w:rPr>
        <w:t xml:space="preserve">fossil fuel-fired steam electric plants of more than 250 million British thermal units per hour heat input, coal cleaning plants (with thermal dryers), </w:t>
      </w:r>
      <w:r w:rsidR="002F0E6E" w:rsidRPr="00CA5301">
        <w:rPr>
          <w:sz w:val="22"/>
          <w:szCs w:val="22"/>
        </w:rPr>
        <w:t>Kraft</w:t>
      </w:r>
      <w:r w:rsidR="002A28C2" w:rsidRPr="00CA5301">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CA5301" w:rsidRDefault="004D1D9F" w:rsidP="004D1D9F">
      <w:pPr>
        <w:pStyle w:val="BodyText"/>
        <w:rPr>
          <w:sz w:val="22"/>
          <w:szCs w:val="22"/>
        </w:rPr>
      </w:pPr>
      <w:r w:rsidRPr="00CA530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CA5301">
        <w:rPr>
          <w:sz w:val="22"/>
          <w:szCs w:val="22"/>
          <w:vertAlign w:val="subscript"/>
        </w:rPr>
        <w:t>X</w:t>
      </w:r>
      <w:r w:rsidR="00E218B0">
        <w:rPr>
          <w:sz w:val="22"/>
          <w:szCs w:val="22"/>
        </w:rPr>
        <w:t xml:space="preserve">); </w:t>
      </w:r>
      <w:r w:rsidRPr="00CA5301">
        <w:rPr>
          <w:sz w:val="22"/>
          <w:szCs w:val="22"/>
        </w:rPr>
        <w:t>SO</w:t>
      </w:r>
      <w:r w:rsidRPr="00CA5301">
        <w:rPr>
          <w:sz w:val="22"/>
          <w:szCs w:val="22"/>
          <w:vertAlign w:val="subscript"/>
        </w:rPr>
        <w:t>2</w:t>
      </w:r>
      <w:r w:rsidRPr="00CA5301">
        <w:rPr>
          <w:sz w:val="22"/>
          <w:szCs w:val="22"/>
        </w:rPr>
        <w:t>; particulate matter (PM); particulate matter with a mean particle diameter of 10 microns or less (PM</w:t>
      </w:r>
      <w:r w:rsidRPr="00CA5301">
        <w:rPr>
          <w:sz w:val="22"/>
          <w:szCs w:val="22"/>
          <w:vertAlign w:val="subscript"/>
        </w:rPr>
        <w:t>10</w:t>
      </w:r>
      <w:r w:rsidRPr="00CA5301">
        <w:rPr>
          <w:sz w:val="22"/>
          <w:szCs w:val="22"/>
        </w:rPr>
        <w:t>);</w:t>
      </w:r>
      <w:r w:rsidR="002968C8" w:rsidRPr="00CA5301">
        <w:rPr>
          <w:sz w:val="22"/>
          <w:szCs w:val="22"/>
        </w:rPr>
        <w:t xml:space="preserve"> PM</w:t>
      </w:r>
      <w:r w:rsidR="002968C8" w:rsidRPr="00CA5301">
        <w:rPr>
          <w:sz w:val="22"/>
          <w:szCs w:val="22"/>
          <w:vertAlign w:val="subscript"/>
        </w:rPr>
        <w:t>2.5</w:t>
      </w:r>
      <w:r w:rsidR="002968C8" w:rsidRPr="00CA5301">
        <w:rPr>
          <w:sz w:val="22"/>
          <w:szCs w:val="22"/>
        </w:rPr>
        <w:t>;</w:t>
      </w:r>
      <w:r w:rsidRPr="00CA5301">
        <w:rPr>
          <w:sz w:val="22"/>
          <w:szCs w:val="22"/>
        </w:rPr>
        <w:t xml:space="preserve"> volatile organ</w:t>
      </w:r>
      <w:r w:rsidR="001D1649" w:rsidRPr="00CA5301">
        <w:rPr>
          <w:sz w:val="22"/>
          <w:szCs w:val="22"/>
        </w:rPr>
        <w:t>ic compounds (VOC); lead (Pb); f</w:t>
      </w:r>
      <w:r w:rsidRPr="00CA5301">
        <w:rPr>
          <w:sz w:val="22"/>
          <w:szCs w:val="22"/>
        </w:rPr>
        <w:t>luorides (F); sulfuric acid mist (SAM); H</w:t>
      </w:r>
      <w:r w:rsidRPr="00CA5301">
        <w:rPr>
          <w:sz w:val="22"/>
          <w:szCs w:val="22"/>
          <w:vertAlign w:val="subscript"/>
        </w:rPr>
        <w:t>2</w:t>
      </w:r>
      <w:r w:rsidRPr="00CA5301">
        <w:rPr>
          <w:sz w:val="22"/>
          <w:szCs w:val="22"/>
        </w:rPr>
        <w:t>S; total reduced sulfur (TRS), including H</w:t>
      </w:r>
      <w:r w:rsidRPr="00CA5301">
        <w:rPr>
          <w:sz w:val="22"/>
          <w:szCs w:val="22"/>
          <w:vertAlign w:val="subscript"/>
        </w:rPr>
        <w:t>2</w:t>
      </w:r>
      <w:r w:rsidRPr="00CA5301">
        <w:rPr>
          <w:sz w:val="22"/>
          <w:szCs w:val="22"/>
        </w:rPr>
        <w:t>S; reduced sulfur compounds, including H</w:t>
      </w:r>
      <w:r w:rsidRPr="00CA5301">
        <w:rPr>
          <w:sz w:val="22"/>
          <w:szCs w:val="22"/>
          <w:vertAlign w:val="subscript"/>
        </w:rPr>
        <w:t>2</w:t>
      </w:r>
      <w:r w:rsidRPr="00CA530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CA5301">
        <w:rPr>
          <w:sz w:val="22"/>
          <w:szCs w:val="22"/>
          <w:vertAlign w:val="subscript"/>
        </w:rPr>
        <w:t>2</w:t>
      </w:r>
      <w:r w:rsidRPr="00CA5301">
        <w:rPr>
          <w:sz w:val="22"/>
          <w:szCs w:val="22"/>
        </w:rPr>
        <w:t xml:space="preserve"> and hydrogen chloride (HCl); municipal solid waste landfills emissions measured as non</w:t>
      </w:r>
      <w:r w:rsidR="00446FE7" w:rsidRPr="00CA5301">
        <w:rPr>
          <w:sz w:val="22"/>
          <w:szCs w:val="22"/>
        </w:rPr>
        <w:t>-</w:t>
      </w:r>
      <w:r w:rsidRPr="00CA5301">
        <w:rPr>
          <w:sz w:val="22"/>
          <w:szCs w:val="22"/>
        </w:rPr>
        <w:t xml:space="preserve">methane organic compounds (NMOC); and mercury (Hg).  </w:t>
      </w:r>
      <w:r w:rsidR="00686486" w:rsidRPr="00CA5301">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r w:rsidR="000E6D60" w:rsidRPr="00CA5301">
        <w:rPr>
          <w:sz w:val="22"/>
          <w:szCs w:val="22"/>
        </w:rPr>
        <w:t>micro grams per cubic meter (</w:t>
      </w:r>
      <w:r w:rsidR="00686486" w:rsidRPr="00CA5301">
        <w:rPr>
          <w:sz w:val="22"/>
          <w:szCs w:val="22"/>
        </w:rPr>
        <w:t>μg/m</w:t>
      </w:r>
      <w:r w:rsidR="00686486" w:rsidRPr="00CA5301">
        <w:rPr>
          <w:sz w:val="22"/>
          <w:szCs w:val="22"/>
          <w:vertAlign w:val="superscript"/>
        </w:rPr>
        <w:t>3</w:t>
      </w:r>
      <w:r w:rsidR="000E6D60" w:rsidRPr="00CA5301">
        <w:rPr>
          <w:sz w:val="22"/>
          <w:szCs w:val="22"/>
        </w:rPr>
        <w:t>)</w:t>
      </w:r>
      <w:r w:rsidR="00686486" w:rsidRPr="00CA5301">
        <w:rPr>
          <w:sz w:val="22"/>
          <w:szCs w:val="22"/>
        </w:rPr>
        <w:t>, 24-hour average.</w:t>
      </w:r>
    </w:p>
    <w:p w:rsidR="00396B24" w:rsidRPr="00640EAF" w:rsidRDefault="00396B24" w:rsidP="00396B24">
      <w:pPr>
        <w:pStyle w:val="BodyText"/>
        <w:rPr>
          <w:sz w:val="22"/>
          <w:szCs w:val="22"/>
        </w:rPr>
      </w:pPr>
      <w:r w:rsidRPr="006B1B48">
        <w:rPr>
          <w:sz w:val="22"/>
          <w:szCs w:val="22"/>
        </w:rPr>
        <w:t xml:space="preserve">The </w:t>
      </w:r>
      <w:r>
        <w:rPr>
          <w:rStyle w:val="PageNumber"/>
          <w:sz w:val="22"/>
          <w:szCs w:val="22"/>
        </w:rPr>
        <w:t>Monarch Hill Landfill</w:t>
      </w:r>
      <w:r w:rsidRPr="006B1B48">
        <w:rPr>
          <w:rStyle w:val="PageNumber"/>
          <w:sz w:val="22"/>
          <w:szCs w:val="22"/>
        </w:rPr>
        <w:t xml:space="preserve"> is a </w:t>
      </w:r>
      <w:r w:rsidR="002C19F8">
        <w:rPr>
          <w:sz w:val="22"/>
          <w:szCs w:val="22"/>
        </w:rPr>
        <w:t>municipal solid waste (MSW) landfill, which is not on the list of the 28 PSD-major facility categories.  However, because the facility is already a PSD major source, it is subject to th</w:t>
      </w:r>
      <w:r w:rsidRPr="00640EAF">
        <w:rPr>
          <w:rStyle w:val="PageNumber"/>
          <w:sz w:val="22"/>
          <w:szCs w:val="22"/>
        </w:rPr>
        <w:t xml:space="preserve">e SER listed in </w:t>
      </w:r>
      <w:r w:rsidRPr="00640EAF">
        <w:rPr>
          <w:rStyle w:val="PageNumber"/>
          <w:b/>
          <w:sz w:val="22"/>
          <w:szCs w:val="22"/>
        </w:rPr>
        <w:fldChar w:fldCharType="begin"/>
      </w:r>
      <w:r w:rsidRPr="00640EAF">
        <w:rPr>
          <w:rStyle w:val="PageNumber"/>
          <w:b/>
          <w:sz w:val="22"/>
          <w:szCs w:val="22"/>
        </w:rPr>
        <w:instrText xml:space="preserve"> REF _Ref512863977 \h  \* MERGEFORMAT </w:instrText>
      </w:r>
      <w:r w:rsidRPr="00640EAF">
        <w:rPr>
          <w:rStyle w:val="PageNumber"/>
          <w:b/>
          <w:sz w:val="22"/>
          <w:szCs w:val="22"/>
        </w:rPr>
      </w:r>
      <w:r w:rsidRPr="00640EAF">
        <w:rPr>
          <w:rStyle w:val="PageNumber"/>
          <w:b/>
          <w:sz w:val="22"/>
          <w:szCs w:val="22"/>
        </w:rPr>
        <w:fldChar w:fldCharType="separate"/>
      </w:r>
      <w:r w:rsidRPr="006B1B48">
        <w:rPr>
          <w:b/>
          <w:iCs/>
          <w:color w:val="000000"/>
          <w:sz w:val="22"/>
          <w:szCs w:val="22"/>
        </w:rPr>
        <w:t xml:space="preserve">Table </w:t>
      </w:r>
      <w:r w:rsidRPr="006B1B48">
        <w:rPr>
          <w:b/>
          <w:iCs/>
          <w:noProof/>
          <w:color w:val="000000"/>
          <w:sz w:val="22"/>
          <w:szCs w:val="22"/>
        </w:rPr>
        <w:t>3</w:t>
      </w:r>
      <w:r w:rsidRPr="00640EAF">
        <w:rPr>
          <w:rStyle w:val="PageNumber"/>
          <w:b/>
          <w:sz w:val="22"/>
          <w:szCs w:val="22"/>
        </w:rPr>
        <w:fldChar w:fldCharType="end"/>
      </w:r>
      <w:r w:rsidRPr="00640EAF">
        <w:rPr>
          <w:rStyle w:val="PageNumber"/>
          <w:sz w:val="22"/>
          <w:szCs w:val="22"/>
        </w:rPr>
        <w:t xml:space="preserve">.  </w:t>
      </w:r>
    </w:p>
    <w:p w:rsidR="00396B24" w:rsidRPr="00252F08" w:rsidRDefault="00396B24" w:rsidP="00DE4EB5">
      <w:pPr>
        <w:spacing w:after="120"/>
        <w:jc w:val="center"/>
        <w:rPr>
          <w:rFonts w:ascii="Times New Roman Bold" w:hAnsi="Times New Roman Bold"/>
          <w:b/>
          <w:iCs/>
          <w:caps/>
          <w:color w:val="000000"/>
          <w:sz w:val="22"/>
          <w:szCs w:val="22"/>
        </w:rPr>
      </w:pPr>
      <w:bookmarkStart w:id="10" w:name="_Ref512863977"/>
      <w:r w:rsidRPr="00252F08">
        <w:rPr>
          <w:rFonts w:ascii="Times New Roman Bold" w:hAnsi="Times New Roman Bold"/>
          <w:b/>
          <w:iCs/>
          <w:caps/>
          <w:color w:val="000000"/>
          <w:sz w:val="22"/>
          <w:szCs w:val="22"/>
        </w:rPr>
        <w:t xml:space="preserve">Table </w:t>
      </w:r>
      <w:r w:rsidRPr="00252F08">
        <w:rPr>
          <w:rFonts w:ascii="Times New Roman Bold" w:hAnsi="Times New Roman Bold"/>
          <w:b/>
          <w:iCs/>
          <w:caps/>
          <w:color w:val="000000"/>
          <w:sz w:val="22"/>
          <w:szCs w:val="22"/>
        </w:rPr>
        <w:fldChar w:fldCharType="begin"/>
      </w:r>
      <w:r w:rsidRPr="00252F08">
        <w:rPr>
          <w:rFonts w:ascii="Times New Roman Bold" w:hAnsi="Times New Roman Bold"/>
          <w:b/>
          <w:iCs/>
          <w:caps/>
          <w:color w:val="000000"/>
          <w:sz w:val="22"/>
          <w:szCs w:val="22"/>
        </w:rPr>
        <w:instrText xml:space="preserve"> SEQ Table \* ARABIC </w:instrText>
      </w:r>
      <w:r w:rsidRPr="00252F08">
        <w:rPr>
          <w:rFonts w:ascii="Times New Roman Bold" w:hAnsi="Times New Roman Bold"/>
          <w:b/>
          <w:iCs/>
          <w:caps/>
          <w:color w:val="000000"/>
          <w:sz w:val="22"/>
          <w:szCs w:val="22"/>
        </w:rPr>
        <w:fldChar w:fldCharType="separate"/>
      </w:r>
      <w:r>
        <w:rPr>
          <w:rFonts w:ascii="Times New Roman Bold" w:hAnsi="Times New Roman Bold"/>
          <w:b/>
          <w:iCs/>
          <w:caps/>
          <w:noProof/>
          <w:color w:val="000000"/>
          <w:sz w:val="22"/>
          <w:szCs w:val="22"/>
        </w:rPr>
        <w:t>3</w:t>
      </w:r>
      <w:r w:rsidRPr="00252F08">
        <w:rPr>
          <w:rFonts w:ascii="Times New Roman Bold" w:hAnsi="Times New Roman Bold"/>
          <w:b/>
          <w:iCs/>
          <w:caps/>
          <w:color w:val="000000"/>
          <w:sz w:val="22"/>
          <w:szCs w:val="22"/>
        </w:rPr>
        <w:fldChar w:fldCharType="end"/>
      </w:r>
      <w:bookmarkEnd w:id="10"/>
      <w:r>
        <w:rPr>
          <w:rFonts w:ascii="Times New Roman Bold" w:hAnsi="Times New Roman Bold"/>
          <w:b/>
          <w:i/>
          <w:caps/>
          <w:sz w:val="22"/>
          <w:szCs w:val="22"/>
        </w:rPr>
        <w:t xml:space="preserve"> – </w:t>
      </w:r>
      <w:r w:rsidRPr="00252F08">
        <w:rPr>
          <w:rFonts w:ascii="Times New Roman Bold" w:hAnsi="Times New Roman Bold"/>
          <w:b/>
          <w:iCs/>
          <w:caps/>
          <w:color w:val="000000"/>
          <w:sz w:val="22"/>
          <w:szCs w:val="22"/>
        </w:rPr>
        <w:t>List of SER by PSD Pollutant.</w:t>
      </w:r>
    </w:p>
    <w:tbl>
      <w:tblPr>
        <w:tblW w:w="8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60"/>
        <w:gridCol w:w="2018"/>
        <w:gridCol w:w="2070"/>
        <w:gridCol w:w="2377"/>
      </w:tblGrid>
      <w:tr w:rsidR="00396B24" w:rsidRPr="00252F08" w:rsidTr="002F00A7">
        <w:trPr>
          <w:trHeight w:val="384"/>
          <w:jc w:val="center"/>
        </w:trPr>
        <w:tc>
          <w:tcPr>
            <w:tcW w:w="2160" w:type="dxa"/>
            <w:tcBorders>
              <w:top w:val="single" w:sz="12" w:space="0" w:color="auto"/>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b/>
                <w:color w:val="000000"/>
              </w:rPr>
            </w:pPr>
            <w:bookmarkStart w:id="11" w:name="tab1"/>
            <w:bookmarkEnd w:id="11"/>
            <w:r w:rsidRPr="00252F08">
              <w:rPr>
                <w:b/>
                <w:color w:val="000000"/>
              </w:rPr>
              <w:t xml:space="preserve">Pollutant </w:t>
            </w:r>
            <w:r w:rsidRPr="00252F08">
              <w:rPr>
                <w:b/>
                <w:color w:val="000000"/>
                <w:vertAlign w:val="superscript"/>
              </w:rPr>
              <w:t>a</w:t>
            </w:r>
          </w:p>
        </w:tc>
        <w:tc>
          <w:tcPr>
            <w:tcW w:w="2018" w:type="dxa"/>
            <w:tcBorders>
              <w:top w:val="single" w:sz="12" w:space="0" w:color="auto"/>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b/>
                <w:color w:val="000000"/>
              </w:rPr>
            </w:pPr>
            <w:r w:rsidRPr="00252F08">
              <w:rPr>
                <w:b/>
                <w:color w:val="000000"/>
              </w:rPr>
              <w:t>SER (TPY)</w:t>
            </w:r>
          </w:p>
        </w:tc>
        <w:tc>
          <w:tcPr>
            <w:tcW w:w="2070" w:type="dxa"/>
            <w:tcBorders>
              <w:top w:val="single" w:sz="12" w:space="0" w:color="auto"/>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b/>
                <w:color w:val="000000"/>
              </w:rPr>
            </w:pPr>
            <w:r w:rsidRPr="00252F08">
              <w:rPr>
                <w:b/>
                <w:color w:val="000000"/>
              </w:rPr>
              <w:t>Pollutant</w:t>
            </w:r>
          </w:p>
        </w:tc>
        <w:tc>
          <w:tcPr>
            <w:tcW w:w="2377" w:type="dxa"/>
            <w:tcBorders>
              <w:top w:val="single" w:sz="12" w:space="0" w:color="auto"/>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b/>
                <w:color w:val="000000"/>
              </w:rPr>
            </w:pPr>
            <w:r w:rsidRPr="00252F08">
              <w:rPr>
                <w:b/>
                <w:color w:val="000000"/>
              </w:rPr>
              <w:t>SER (TPY)</w:t>
            </w:r>
          </w:p>
        </w:tc>
      </w:tr>
      <w:tr w:rsidR="00396B24" w:rsidRPr="00252F08" w:rsidTr="002F00A7">
        <w:trPr>
          <w:trHeight w:val="264"/>
          <w:jc w:val="center"/>
        </w:trPr>
        <w:tc>
          <w:tcPr>
            <w:tcW w:w="2160" w:type="dxa"/>
            <w:tcBorders>
              <w:top w:val="single" w:sz="12" w:space="0" w:color="auto"/>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CO</w:t>
            </w:r>
          </w:p>
        </w:tc>
        <w:tc>
          <w:tcPr>
            <w:tcW w:w="2018" w:type="dxa"/>
            <w:tcBorders>
              <w:top w:val="single" w:sz="12" w:space="0" w:color="auto"/>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100</w:t>
            </w:r>
          </w:p>
        </w:tc>
        <w:tc>
          <w:tcPr>
            <w:tcW w:w="2070" w:type="dxa"/>
            <w:tcBorders>
              <w:top w:val="single" w:sz="12" w:space="0" w:color="auto"/>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NO</w:t>
            </w:r>
            <w:r w:rsidRPr="00252F08">
              <w:rPr>
                <w:color w:val="000000"/>
                <w:vertAlign w:val="subscript"/>
              </w:rPr>
              <w:t>X</w:t>
            </w:r>
          </w:p>
        </w:tc>
        <w:tc>
          <w:tcPr>
            <w:tcW w:w="2377" w:type="dxa"/>
            <w:tcBorders>
              <w:top w:val="single" w:sz="12" w:space="0" w:color="auto"/>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r>
      <w:tr w:rsidR="00396B24" w:rsidRPr="00252F08" w:rsidTr="002F00A7">
        <w:trPr>
          <w:trHeight w:val="264"/>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6B1B48">
              <w:t>PM/</w:t>
            </w:r>
            <w:r w:rsidRPr="00252F08">
              <w:rPr>
                <w:color w:val="000000"/>
              </w:rPr>
              <w:t>PM</w:t>
            </w:r>
            <w:r w:rsidRPr="00252F08">
              <w:rPr>
                <w:vertAlign w:val="subscript"/>
              </w:rPr>
              <w:t>10</w:t>
            </w:r>
            <w:r w:rsidRPr="00252F08">
              <w:rPr>
                <w:color w:val="000000"/>
              </w:rPr>
              <w:t>/PM</w:t>
            </w:r>
            <w:r w:rsidRPr="00252F08">
              <w:rPr>
                <w:color w:val="000000"/>
                <w:vertAlign w:val="subscript"/>
              </w:rPr>
              <w:t>2.5</w:t>
            </w:r>
          </w:p>
        </w:tc>
        <w:tc>
          <w:tcPr>
            <w:tcW w:w="2018"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6B1B48">
              <w:t>25</w:t>
            </w:r>
            <w:r w:rsidRPr="00252F08">
              <w:rPr>
                <w:color w:val="000000"/>
              </w:rPr>
              <w:t>/15/10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 xml:space="preserve">Ozone (VOC) </w:t>
            </w:r>
            <w:r w:rsidRPr="00252F08">
              <w:rPr>
                <w:color w:val="000000"/>
                <w:vertAlign w:val="superscript"/>
              </w:rPr>
              <w:t>b</w:t>
            </w:r>
          </w:p>
        </w:tc>
        <w:tc>
          <w:tcPr>
            <w:tcW w:w="2377"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r>
      <w:tr w:rsidR="00396B24" w:rsidRPr="00252F08" w:rsidTr="002F00A7">
        <w:trPr>
          <w:trHeight w:val="264"/>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PM</w:t>
            </w:r>
            <w:r w:rsidRPr="00252F08">
              <w:rPr>
                <w:color w:val="000000"/>
                <w:vertAlign w:val="subscript"/>
              </w:rPr>
              <w:t>2.5</w:t>
            </w:r>
            <w:r w:rsidRPr="00252F08">
              <w:rPr>
                <w:color w:val="000000"/>
              </w:rPr>
              <w:t xml:space="preserve"> (NO</w:t>
            </w:r>
            <w:r w:rsidRPr="00252F08">
              <w:rPr>
                <w:vertAlign w:val="subscript"/>
              </w:rPr>
              <w:t>X</w:t>
            </w:r>
            <w:r w:rsidRPr="00252F08">
              <w:rPr>
                <w:color w:val="000000"/>
              </w:rPr>
              <w:t>)</w:t>
            </w:r>
          </w:p>
        </w:tc>
        <w:tc>
          <w:tcPr>
            <w:tcW w:w="2018"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PM</w:t>
            </w:r>
            <w:r w:rsidRPr="00252F08">
              <w:rPr>
                <w:color w:val="000000"/>
                <w:vertAlign w:val="subscript"/>
              </w:rPr>
              <w:t>2.5</w:t>
            </w:r>
            <w:r w:rsidRPr="00252F08">
              <w:rPr>
                <w:color w:val="000000"/>
              </w:rPr>
              <w:t xml:space="preserve"> (SO</w:t>
            </w:r>
            <w:r w:rsidRPr="00252F08">
              <w:rPr>
                <w:vertAlign w:val="subscript"/>
              </w:rPr>
              <w:t>2</w:t>
            </w:r>
            <w:r w:rsidRPr="00252F08">
              <w:rPr>
                <w:color w:val="000000"/>
              </w:rPr>
              <w:t>)</w:t>
            </w:r>
          </w:p>
        </w:tc>
        <w:tc>
          <w:tcPr>
            <w:tcW w:w="2377"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r>
      <w:tr w:rsidR="00396B24" w:rsidRPr="00252F08" w:rsidTr="002F00A7">
        <w:trPr>
          <w:trHeight w:val="246"/>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Ozone (NO</w:t>
            </w:r>
            <w:r w:rsidRPr="00252F08">
              <w:rPr>
                <w:vertAlign w:val="subscript"/>
              </w:rPr>
              <w:t>X</w:t>
            </w:r>
            <w:r w:rsidRPr="00252F08">
              <w:rPr>
                <w:color w:val="000000"/>
              </w:rPr>
              <w:t xml:space="preserve">) </w:t>
            </w:r>
            <w:r w:rsidRPr="00252F08">
              <w:rPr>
                <w:color w:val="000000"/>
                <w:vertAlign w:val="superscript"/>
              </w:rPr>
              <w:t>b</w:t>
            </w:r>
          </w:p>
        </w:tc>
        <w:tc>
          <w:tcPr>
            <w:tcW w:w="2018"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396B24" w:rsidRPr="006B1B48" w:rsidRDefault="00396B24" w:rsidP="002F00A7">
            <w:pPr>
              <w:autoSpaceDE w:val="0"/>
              <w:autoSpaceDN w:val="0"/>
              <w:adjustRightInd w:val="0"/>
              <w:jc w:val="center"/>
            </w:pPr>
            <w:r w:rsidRPr="006B1B48">
              <w:t>SAM</w:t>
            </w:r>
          </w:p>
        </w:tc>
        <w:tc>
          <w:tcPr>
            <w:tcW w:w="2377"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6B1B48" w:rsidRDefault="00396B24" w:rsidP="002F00A7">
            <w:pPr>
              <w:autoSpaceDE w:val="0"/>
              <w:autoSpaceDN w:val="0"/>
              <w:adjustRightInd w:val="0"/>
              <w:jc w:val="center"/>
            </w:pPr>
            <w:r w:rsidRPr="006B1B48">
              <w:t>7</w:t>
            </w:r>
          </w:p>
        </w:tc>
      </w:tr>
      <w:tr w:rsidR="00396B24" w:rsidRPr="00252F08" w:rsidTr="002F00A7">
        <w:trPr>
          <w:trHeight w:val="255"/>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SO</w:t>
            </w:r>
            <w:r w:rsidRPr="00252F08">
              <w:rPr>
                <w:color w:val="000000"/>
                <w:vertAlign w:val="subscript"/>
              </w:rPr>
              <w:t>2</w:t>
            </w:r>
          </w:p>
        </w:tc>
        <w:tc>
          <w:tcPr>
            <w:tcW w:w="2018"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Pb</w:t>
            </w:r>
          </w:p>
        </w:tc>
        <w:tc>
          <w:tcPr>
            <w:tcW w:w="2377" w:type="dxa"/>
            <w:tcBorders>
              <w:top w:val="single" w:sz="6" w:space="0" w:color="000000"/>
              <w:left w:val="single" w:sz="12" w:space="0" w:color="auto"/>
              <w:bottom w:val="single" w:sz="6" w:space="0" w:color="000000"/>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0.6</w:t>
            </w:r>
          </w:p>
        </w:tc>
      </w:tr>
      <w:tr w:rsidR="00396B24" w:rsidRPr="00252F08" w:rsidTr="002F00A7">
        <w:trPr>
          <w:trHeight w:val="345"/>
          <w:jc w:val="center"/>
        </w:trPr>
        <w:tc>
          <w:tcPr>
            <w:tcW w:w="2160" w:type="dxa"/>
            <w:tcBorders>
              <w:top w:val="single" w:sz="6" w:space="0" w:color="000000"/>
              <w:left w:val="single" w:sz="12" w:space="0" w:color="auto"/>
              <w:bottom w:val="single" w:sz="12" w:space="0" w:color="auto"/>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Hg</w:t>
            </w:r>
          </w:p>
        </w:tc>
        <w:tc>
          <w:tcPr>
            <w:tcW w:w="2018" w:type="dxa"/>
            <w:tcBorders>
              <w:top w:val="single" w:sz="6" w:space="0" w:color="000000"/>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 xml:space="preserve">0.1 </w:t>
            </w:r>
          </w:p>
        </w:tc>
        <w:tc>
          <w:tcPr>
            <w:tcW w:w="2070" w:type="dxa"/>
            <w:tcBorders>
              <w:top w:val="single" w:sz="6" w:space="0" w:color="000000"/>
              <w:left w:val="single" w:sz="12" w:space="0" w:color="auto"/>
              <w:bottom w:val="single" w:sz="12" w:space="0" w:color="auto"/>
              <w:right w:val="single" w:sz="12" w:space="0" w:color="auto"/>
            </w:tcBorders>
            <w:vAlign w:val="center"/>
            <w:hideMark/>
          </w:tcPr>
          <w:p w:rsidR="00396B24" w:rsidRPr="00252F08" w:rsidRDefault="00396B24" w:rsidP="002F00A7">
            <w:pPr>
              <w:autoSpaceDE w:val="0"/>
              <w:autoSpaceDN w:val="0"/>
              <w:adjustRightInd w:val="0"/>
              <w:jc w:val="center"/>
              <w:rPr>
                <w:color w:val="000000"/>
              </w:rPr>
            </w:pPr>
            <w:r w:rsidRPr="00252F08">
              <w:rPr>
                <w:color w:val="000000"/>
              </w:rPr>
              <w:t>GHG (CO</w:t>
            </w:r>
            <w:r w:rsidRPr="00252F08">
              <w:rPr>
                <w:color w:val="000000"/>
                <w:vertAlign w:val="subscript"/>
              </w:rPr>
              <w:t>2</w:t>
            </w:r>
            <w:r w:rsidRPr="00252F08">
              <w:rPr>
                <w:color w:val="000000"/>
              </w:rPr>
              <w:t xml:space="preserve">e) </w:t>
            </w:r>
            <w:r w:rsidRPr="00252F08">
              <w:rPr>
                <w:color w:val="000000"/>
                <w:vertAlign w:val="superscript"/>
              </w:rPr>
              <w:t>c</w:t>
            </w:r>
          </w:p>
        </w:tc>
        <w:tc>
          <w:tcPr>
            <w:tcW w:w="2377" w:type="dxa"/>
            <w:tcBorders>
              <w:top w:val="single" w:sz="6" w:space="0" w:color="000000"/>
              <w:left w:val="single" w:sz="12" w:space="0" w:color="auto"/>
              <w:bottom w:val="single" w:sz="12" w:space="0" w:color="auto"/>
              <w:right w:val="single" w:sz="12" w:space="0" w:color="auto"/>
            </w:tcBorders>
            <w:shd w:val="clear" w:color="auto" w:fill="BDD6EE"/>
            <w:vAlign w:val="center"/>
            <w:hideMark/>
          </w:tcPr>
          <w:p w:rsidR="00396B24" w:rsidRPr="00252F08" w:rsidRDefault="00396B24" w:rsidP="002F00A7">
            <w:pPr>
              <w:autoSpaceDE w:val="0"/>
              <w:autoSpaceDN w:val="0"/>
              <w:adjustRightInd w:val="0"/>
              <w:jc w:val="center"/>
              <w:rPr>
                <w:color w:val="000000"/>
              </w:rPr>
            </w:pPr>
            <w:r w:rsidRPr="00252F08">
              <w:rPr>
                <w:color w:val="000000"/>
              </w:rPr>
              <w:t>75,000</w:t>
            </w:r>
          </w:p>
        </w:tc>
      </w:tr>
      <w:tr w:rsidR="00396B24" w:rsidRPr="00252F08" w:rsidTr="002F00A7">
        <w:trPr>
          <w:trHeight w:val="798"/>
          <w:jc w:val="center"/>
        </w:trPr>
        <w:tc>
          <w:tcPr>
            <w:tcW w:w="8625" w:type="dxa"/>
            <w:gridSpan w:val="4"/>
            <w:tcBorders>
              <w:top w:val="single" w:sz="12" w:space="0" w:color="auto"/>
              <w:left w:val="single" w:sz="12" w:space="0" w:color="auto"/>
              <w:bottom w:val="single" w:sz="12" w:space="0" w:color="auto"/>
              <w:right w:val="single" w:sz="12" w:space="0" w:color="auto"/>
            </w:tcBorders>
            <w:hideMark/>
          </w:tcPr>
          <w:p w:rsidR="00396B24" w:rsidRPr="00252F08" w:rsidRDefault="00396B24" w:rsidP="00396B24">
            <w:pPr>
              <w:numPr>
                <w:ilvl w:val="0"/>
                <w:numId w:val="12"/>
              </w:numPr>
              <w:autoSpaceDE w:val="0"/>
              <w:autoSpaceDN w:val="0"/>
              <w:adjustRightInd w:val="0"/>
              <w:ind w:left="345" w:hanging="331"/>
              <w:rPr>
                <w:color w:val="000000"/>
                <w:sz w:val="16"/>
                <w:szCs w:val="16"/>
              </w:rPr>
            </w:pPr>
            <w:r w:rsidRPr="00252F08">
              <w:rPr>
                <w:color w:val="000000"/>
                <w:sz w:val="16"/>
                <w:szCs w:val="16"/>
              </w:rPr>
              <w:t>Excluding fluoride and those pollutants defined for Pulp and Paper, MWC, MSW landfills.</w:t>
            </w:r>
          </w:p>
          <w:p w:rsidR="00396B24" w:rsidRPr="00252F08" w:rsidRDefault="00396B24" w:rsidP="00396B24">
            <w:pPr>
              <w:numPr>
                <w:ilvl w:val="0"/>
                <w:numId w:val="12"/>
              </w:numPr>
              <w:autoSpaceDE w:val="0"/>
              <w:autoSpaceDN w:val="0"/>
              <w:adjustRightInd w:val="0"/>
              <w:ind w:left="345" w:hanging="331"/>
              <w:rPr>
                <w:color w:val="000000"/>
                <w:sz w:val="16"/>
                <w:szCs w:val="16"/>
              </w:rPr>
            </w:pPr>
            <w:r w:rsidRPr="00252F08">
              <w:rPr>
                <w:color w:val="000000"/>
                <w:sz w:val="16"/>
                <w:szCs w:val="16"/>
              </w:rPr>
              <w:t>Ozone (O</w:t>
            </w:r>
            <w:r w:rsidRPr="00252F08">
              <w:rPr>
                <w:color w:val="000000"/>
                <w:sz w:val="16"/>
                <w:szCs w:val="16"/>
                <w:vertAlign w:val="subscript"/>
              </w:rPr>
              <w:t>3</w:t>
            </w:r>
            <w:r w:rsidRPr="00252F08">
              <w:rPr>
                <w:color w:val="000000"/>
                <w:sz w:val="16"/>
                <w:szCs w:val="16"/>
              </w:rPr>
              <w:t>) is regulated by its precursors (VOC and NO</w:t>
            </w:r>
            <w:r w:rsidRPr="00252F08">
              <w:rPr>
                <w:color w:val="000000"/>
                <w:sz w:val="16"/>
                <w:szCs w:val="16"/>
                <w:vertAlign w:val="subscript"/>
              </w:rPr>
              <w:t>X</w:t>
            </w:r>
            <w:r w:rsidRPr="00252F08">
              <w:rPr>
                <w:color w:val="000000"/>
                <w:sz w:val="16"/>
                <w:szCs w:val="16"/>
              </w:rPr>
              <w:t>).  PSD for PM</w:t>
            </w:r>
            <w:r w:rsidRPr="00252F08">
              <w:rPr>
                <w:color w:val="000000"/>
                <w:sz w:val="16"/>
                <w:szCs w:val="16"/>
                <w:vertAlign w:val="subscript"/>
              </w:rPr>
              <w:t>2.5</w:t>
            </w:r>
            <w:r w:rsidRPr="00252F08">
              <w:rPr>
                <w:color w:val="000000"/>
                <w:sz w:val="16"/>
                <w:szCs w:val="16"/>
              </w:rPr>
              <w:t xml:space="preserve"> can be triggered by its precursors (NO</w:t>
            </w:r>
            <w:r w:rsidRPr="00252F08">
              <w:rPr>
                <w:color w:val="000000"/>
                <w:sz w:val="16"/>
                <w:szCs w:val="16"/>
                <w:vertAlign w:val="subscript"/>
              </w:rPr>
              <w:t>X</w:t>
            </w:r>
            <w:r w:rsidRPr="00252F08">
              <w:rPr>
                <w:color w:val="000000"/>
                <w:sz w:val="16"/>
                <w:szCs w:val="16"/>
              </w:rPr>
              <w:t xml:space="preserve"> and SO</w:t>
            </w:r>
            <w:r w:rsidRPr="00252F08">
              <w:rPr>
                <w:color w:val="000000"/>
                <w:sz w:val="16"/>
                <w:szCs w:val="16"/>
                <w:vertAlign w:val="subscript"/>
              </w:rPr>
              <w:t>2</w:t>
            </w:r>
            <w:r w:rsidRPr="00252F08">
              <w:rPr>
                <w:color w:val="000000"/>
                <w:sz w:val="16"/>
                <w:szCs w:val="16"/>
              </w:rPr>
              <w:t>).</w:t>
            </w:r>
          </w:p>
          <w:p w:rsidR="00396B24" w:rsidRPr="00252F08" w:rsidRDefault="00396B24" w:rsidP="00396B24">
            <w:pPr>
              <w:numPr>
                <w:ilvl w:val="0"/>
                <w:numId w:val="12"/>
              </w:numPr>
              <w:autoSpaceDE w:val="0"/>
              <w:autoSpaceDN w:val="0"/>
              <w:adjustRightInd w:val="0"/>
              <w:ind w:left="345" w:hanging="331"/>
              <w:rPr>
                <w:color w:val="000000"/>
                <w:sz w:val="18"/>
                <w:szCs w:val="18"/>
              </w:rPr>
            </w:pPr>
            <w:r w:rsidRPr="00252F08">
              <w:rPr>
                <w:rFonts w:eastAsia="Calibri"/>
                <w:sz w:val="16"/>
                <w:szCs w:val="16"/>
              </w:rPr>
              <w:t>“CO</w:t>
            </w:r>
            <w:r w:rsidRPr="00252F08">
              <w:rPr>
                <w:rFonts w:eastAsia="Calibri"/>
                <w:sz w:val="16"/>
                <w:szCs w:val="16"/>
                <w:vertAlign w:val="subscript"/>
              </w:rPr>
              <w:t>2</w:t>
            </w:r>
            <w:r w:rsidRPr="00252F08">
              <w:rPr>
                <w:rFonts w:eastAsia="Calibri"/>
                <w:sz w:val="16"/>
                <w:szCs w:val="16"/>
              </w:rPr>
              <w:t>e” means carbon dioxide equivalents and refers to greenhouse gas (GHG) emissions.  The calculation of GHG emissions is defined</w:t>
            </w:r>
            <w:r w:rsidRPr="00252F08">
              <w:rPr>
                <w:sz w:val="16"/>
                <w:szCs w:val="16"/>
              </w:rPr>
              <w:t xml:space="preserve"> in 40 CFR 98, Subpart A, Table A-1.</w:t>
            </w:r>
          </w:p>
        </w:tc>
      </w:tr>
    </w:tbl>
    <w:p w:rsidR="004D1D9F" w:rsidRDefault="00686486" w:rsidP="00B060C6">
      <w:pPr>
        <w:pStyle w:val="BodyText"/>
        <w:spacing w:before="120"/>
        <w:rPr>
          <w:sz w:val="22"/>
        </w:rPr>
      </w:pPr>
      <w:r w:rsidRPr="00CA5301">
        <w:rPr>
          <w:sz w:val="22"/>
        </w:rPr>
        <w:t xml:space="preserve">If the potential emission </w:t>
      </w:r>
      <w:r w:rsidR="00461B52" w:rsidRPr="00CA5301">
        <w:rPr>
          <w:sz w:val="22"/>
        </w:rPr>
        <w:t xml:space="preserve">equals or </w:t>
      </w:r>
      <w:r w:rsidR="004D1D9F" w:rsidRPr="00CA5301">
        <w:rPr>
          <w:sz w:val="22"/>
        </w:rPr>
        <w:t>exceed</w:t>
      </w:r>
      <w:r w:rsidRPr="00CA5301">
        <w:rPr>
          <w:sz w:val="22"/>
        </w:rPr>
        <w:t>s</w:t>
      </w:r>
      <w:r w:rsidR="004D1D9F" w:rsidRPr="00CA5301">
        <w:rPr>
          <w:sz w:val="22"/>
        </w:rPr>
        <w:t xml:space="preserve"> the</w:t>
      </w:r>
      <w:r w:rsidRPr="00CA5301">
        <w:rPr>
          <w:sz w:val="22"/>
          <w:szCs w:val="22"/>
        </w:rPr>
        <w:t xml:space="preserve"> defined significant emissions rate</w:t>
      </w:r>
      <w:r w:rsidR="00DA4D8D" w:rsidRPr="00CA5301">
        <w:rPr>
          <w:sz w:val="22"/>
        </w:rPr>
        <w:t xml:space="preserve"> of a PSD pollutant</w:t>
      </w:r>
      <w:r w:rsidRPr="00CA5301">
        <w:rPr>
          <w:sz w:val="22"/>
          <w:szCs w:val="22"/>
        </w:rPr>
        <w:t xml:space="preserve">, the project is </w:t>
      </w:r>
      <w:r w:rsidR="004D1D9F" w:rsidRPr="00CA5301">
        <w:rPr>
          <w:sz w:val="22"/>
        </w:rPr>
        <w:t xml:space="preserve">considered “significant” </w:t>
      </w:r>
      <w:r w:rsidRPr="00CA5301">
        <w:rPr>
          <w:sz w:val="22"/>
        </w:rPr>
        <w:t xml:space="preserve">for the pollutant </w:t>
      </w:r>
      <w:r w:rsidR="004D1D9F" w:rsidRPr="00CA5301">
        <w:rPr>
          <w:sz w:val="22"/>
        </w:rPr>
        <w:t xml:space="preserve">and the applicant must employ the Best Available Control Technology (BACT) to minimize </w:t>
      </w:r>
      <w:r w:rsidRPr="00CA5301">
        <w:rPr>
          <w:sz w:val="22"/>
        </w:rPr>
        <w:t xml:space="preserve">the </w:t>
      </w:r>
      <w:r w:rsidR="004D1D9F" w:rsidRPr="00CA5301">
        <w:rPr>
          <w:sz w:val="22"/>
        </w:rPr>
        <w:t xml:space="preserve">emissions and evaluate the air quality impacts.  Although a facility or project may be </w:t>
      </w:r>
      <w:r w:rsidR="004D1D9F" w:rsidRPr="00CA5301">
        <w:rPr>
          <w:i/>
          <w:sz w:val="22"/>
        </w:rPr>
        <w:t>major</w:t>
      </w:r>
      <w:r w:rsidR="004D1D9F" w:rsidRPr="00CA5301">
        <w:rPr>
          <w:sz w:val="22"/>
        </w:rPr>
        <w:t xml:space="preserve"> with respect to PSD for only one regulated pollutant, it may be required to install BACT controls for several “significant” regulated pollutants.</w:t>
      </w:r>
      <w:r w:rsidR="009E0C14">
        <w:rPr>
          <w:sz w:val="22"/>
        </w:rPr>
        <w:t xml:space="preserve">  </w:t>
      </w:r>
    </w:p>
    <w:p w:rsidR="00193F10" w:rsidRPr="000D2FBE" w:rsidRDefault="00193F10" w:rsidP="000D2FBE">
      <w:pPr>
        <w:pStyle w:val="ListParagraph"/>
        <w:numPr>
          <w:ilvl w:val="1"/>
          <w:numId w:val="6"/>
        </w:numPr>
        <w:spacing w:after="120"/>
        <w:ind w:left="720" w:hanging="720"/>
        <w:contextualSpacing w:val="0"/>
        <w:rPr>
          <w:b/>
          <w:caps/>
          <w:sz w:val="22"/>
          <w:szCs w:val="22"/>
        </w:rPr>
      </w:pPr>
      <w:r w:rsidRPr="00193F10">
        <w:rPr>
          <w:b/>
          <w:sz w:val="22"/>
        </w:rPr>
        <w:t>PSD Applicability for Project</w:t>
      </w:r>
    </w:p>
    <w:p w:rsidR="00193F10" w:rsidRDefault="008568CA" w:rsidP="00B960D9">
      <w:pPr>
        <w:pStyle w:val="BodyText"/>
        <w:widowControl w:val="0"/>
        <w:rPr>
          <w:sz w:val="22"/>
        </w:rPr>
      </w:pPr>
      <w:r w:rsidRPr="004D7DEB">
        <w:rPr>
          <w:sz w:val="22"/>
        </w:rPr>
        <w:t xml:space="preserve">The project is in </w:t>
      </w:r>
      <w:r>
        <w:rPr>
          <w:sz w:val="22"/>
        </w:rPr>
        <w:t>Broward</w:t>
      </w:r>
      <w:r w:rsidRPr="004D7DEB">
        <w:rPr>
          <w:sz w:val="22"/>
        </w:rPr>
        <w:t xml:space="preserve"> County, which is in an area that is currently in attainment with the AAQS or otherwise designated as unclassifiable.</w:t>
      </w:r>
      <w:r w:rsidRPr="00C9629C">
        <w:rPr>
          <w:sz w:val="22"/>
        </w:rPr>
        <w:t xml:space="preserve"> </w:t>
      </w:r>
      <w:r>
        <w:rPr>
          <w:sz w:val="22"/>
        </w:rPr>
        <w:t xml:space="preserve"> As provided in the application, </w:t>
      </w:r>
      <w:r w:rsidRPr="00E30691">
        <w:rPr>
          <w:sz w:val="22"/>
        </w:rPr>
        <w:fldChar w:fldCharType="begin"/>
      </w:r>
      <w:r w:rsidRPr="00E30691">
        <w:rPr>
          <w:sz w:val="22"/>
        </w:rPr>
        <w:instrText xml:space="preserve"> REF _Ref514926727 \h  \* MERGEFORMAT </w:instrText>
      </w:r>
      <w:r w:rsidRPr="00E30691">
        <w:rPr>
          <w:sz w:val="22"/>
        </w:rPr>
      </w:r>
      <w:r w:rsidRPr="00E30691">
        <w:rPr>
          <w:sz w:val="22"/>
        </w:rPr>
        <w:fldChar w:fldCharType="separate"/>
      </w:r>
      <w:r w:rsidR="00DE4EB5" w:rsidRPr="00DE4EB5">
        <w:rPr>
          <w:b/>
          <w:sz w:val="22"/>
          <w:szCs w:val="22"/>
        </w:rPr>
        <w:t xml:space="preserve">Table </w:t>
      </w:r>
      <w:r w:rsidR="00DE4EB5" w:rsidRPr="00DE4EB5">
        <w:rPr>
          <w:b/>
          <w:noProof/>
          <w:sz w:val="22"/>
          <w:szCs w:val="22"/>
        </w:rPr>
        <w:t>4</w:t>
      </w:r>
      <w:r w:rsidRPr="00E30691">
        <w:rPr>
          <w:sz w:val="22"/>
        </w:rPr>
        <w:fldChar w:fldCharType="end"/>
      </w:r>
      <w:r w:rsidRPr="00E30691">
        <w:rPr>
          <w:sz w:val="22"/>
        </w:rPr>
        <w:t xml:space="preserve"> </w:t>
      </w:r>
      <w:r>
        <w:rPr>
          <w:sz w:val="22"/>
        </w:rPr>
        <w:t>summarizes potential emissions and PSD applicability for the project.</w:t>
      </w:r>
    </w:p>
    <w:p w:rsidR="00686486" w:rsidRDefault="008568CA" w:rsidP="00DE4EB5">
      <w:pPr>
        <w:pStyle w:val="BodyText"/>
        <w:jc w:val="center"/>
        <w:rPr>
          <w:b/>
          <w:sz w:val="22"/>
          <w:highlight w:val="yellow"/>
        </w:rPr>
      </w:pPr>
      <w:bookmarkStart w:id="12" w:name="_Ref514926727"/>
      <w:r w:rsidRPr="006B1B48">
        <w:rPr>
          <w:rFonts w:ascii="Times New Roman Bold" w:hAnsi="Times New Roman Bold"/>
          <w:b/>
          <w:caps/>
          <w:sz w:val="22"/>
          <w:szCs w:val="22"/>
        </w:rPr>
        <w:t xml:space="preserve">Table </w:t>
      </w:r>
      <w:r w:rsidRPr="006B1B48">
        <w:rPr>
          <w:rFonts w:ascii="Times New Roman Bold" w:hAnsi="Times New Roman Bold"/>
          <w:b/>
          <w:i/>
          <w:caps/>
          <w:sz w:val="22"/>
          <w:szCs w:val="22"/>
        </w:rPr>
        <w:fldChar w:fldCharType="begin"/>
      </w:r>
      <w:r w:rsidRPr="006B1B48">
        <w:rPr>
          <w:rFonts w:ascii="Times New Roman Bold" w:hAnsi="Times New Roman Bold"/>
          <w:b/>
          <w:caps/>
          <w:sz w:val="22"/>
          <w:szCs w:val="22"/>
        </w:rPr>
        <w:instrText xml:space="preserve"> SEQ Table \* ARABIC </w:instrText>
      </w:r>
      <w:r w:rsidRPr="006B1B48">
        <w:rPr>
          <w:rFonts w:ascii="Times New Roman Bold" w:hAnsi="Times New Roman Bold"/>
          <w:b/>
          <w:i/>
          <w:caps/>
          <w:sz w:val="22"/>
          <w:szCs w:val="22"/>
        </w:rPr>
        <w:fldChar w:fldCharType="separate"/>
      </w:r>
      <w:r w:rsidR="00DE4EB5">
        <w:rPr>
          <w:rFonts w:ascii="Times New Roman Bold" w:hAnsi="Times New Roman Bold"/>
          <w:b/>
          <w:caps/>
          <w:noProof/>
          <w:sz w:val="22"/>
          <w:szCs w:val="22"/>
        </w:rPr>
        <w:t>4</w:t>
      </w:r>
      <w:r w:rsidRPr="006B1B48">
        <w:rPr>
          <w:rFonts w:ascii="Times New Roman Bold" w:hAnsi="Times New Roman Bold"/>
          <w:b/>
          <w:i/>
          <w:caps/>
          <w:sz w:val="22"/>
          <w:szCs w:val="22"/>
        </w:rPr>
        <w:fldChar w:fldCharType="end"/>
      </w:r>
      <w:bookmarkEnd w:id="12"/>
      <w:r>
        <w:rPr>
          <w:rFonts w:ascii="Times New Roman Bold" w:hAnsi="Times New Roman Bold"/>
          <w:b/>
          <w:caps/>
          <w:sz w:val="22"/>
          <w:szCs w:val="22"/>
        </w:rPr>
        <w:t xml:space="preserve"> – </w:t>
      </w:r>
      <w:r w:rsidRPr="006B1B48">
        <w:rPr>
          <w:rFonts w:ascii="Times New Roman Bold" w:hAnsi="Times New Roman Bold"/>
          <w:b/>
          <w:caps/>
          <w:sz w:val="22"/>
          <w:szCs w:val="22"/>
        </w:rPr>
        <w:t>Summary of the Applicant’s PSD Applicability Analysis</w:t>
      </w:r>
      <w:r>
        <w:rPr>
          <w:rFonts w:ascii="Times New Roman Bold" w:hAnsi="Times New Roman Bold"/>
          <w:b/>
          <w:caps/>
          <w:sz w:val="22"/>
          <w:szCs w:val="22"/>
        </w:rPr>
        <w:t>.</w:t>
      </w:r>
    </w:p>
    <w:tbl>
      <w:tblPr>
        <w:tblStyle w:val="TableGrid"/>
        <w:tblW w:w="9540" w:type="dxa"/>
        <w:tblInd w:w="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20"/>
        <w:gridCol w:w="3240"/>
        <w:gridCol w:w="2070"/>
        <w:gridCol w:w="2610"/>
      </w:tblGrid>
      <w:tr w:rsidR="00057F09" w:rsidRPr="00A70CF4" w:rsidTr="00523485">
        <w:tc>
          <w:tcPr>
            <w:tcW w:w="1620" w:type="dxa"/>
            <w:vMerge w:val="restart"/>
            <w:tcBorders>
              <w:top w:val="single" w:sz="12" w:space="0" w:color="auto"/>
              <w:bottom w:val="single" w:sz="12" w:space="0" w:color="auto"/>
              <w:right w:val="single" w:sz="12" w:space="0" w:color="auto"/>
            </w:tcBorders>
            <w:shd w:val="clear" w:color="auto" w:fill="C6D9F1" w:themeFill="text2" w:themeFillTint="33"/>
            <w:vAlign w:val="center"/>
          </w:tcPr>
          <w:p w:rsidR="00057F09" w:rsidRPr="00523485" w:rsidRDefault="00057F09" w:rsidP="00C14BC5">
            <w:pPr>
              <w:pStyle w:val="BodyText"/>
              <w:jc w:val="center"/>
              <w:rPr>
                <w:b/>
                <w:sz w:val="20"/>
              </w:rPr>
            </w:pPr>
            <w:r w:rsidRPr="00523485">
              <w:rPr>
                <w:b/>
                <w:sz w:val="20"/>
              </w:rPr>
              <w:t>Pollutant</w:t>
            </w:r>
          </w:p>
        </w:tc>
        <w:tc>
          <w:tcPr>
            <w:tcW w:w="5310" w:type="dxa"/>
            <w:gridSpan w:val="2"/>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tcPr>
          <w:p w:rsidR="00057F09" w:rsidRPr="00523485" w:rsidRDefault="00057F09" w:rsidP="00C14BC5">
            <w:pPr>
              <w:pStyle w:val="BodyText"/>
              <w:jc w:val="center"/>
              <w:rPr>
                <w:b/>
                <w:sz w:val="20"/>
              </w:rPr>
            </w:pPr>
            <w:r w:rsidRPr="00523485">
              <w:rPr>
                <w:b/>
                <w:sz w:val="20"/>
              </w:rPr>
              <w:t>Annual Emissions, Tons/Year</w:t>
            </w:r>
          </w:p>
        </w:tc>
        <w:tc>
          <w:tcPr>
            <w:tcW w:w="2610" w:type="dxa"/>
            <w:vMerge w:val="restart"/>
            <w:tcBorders>
              <w:top w:val="single" w:sz="12" w:space="0" w:color="auto"/>
              <w:left w:val="single" w:sz="12" w:space="0" w:color="auto"/>
              <w:bottom w:val="single" w:sz="12" w:space="0" w:color="auto"/>
            </w:tcBorders>
            <w:shd w:val="clear" w:color="auto" w:fill="C6D9F1" w:themeFill="text2" w:themeFillTint="33"/>
            <w:vAlign w:val="center"/>
          </w:tcPr>
          <w:p w:rsidR="00057F09" w:rsidRPr="00523485" w:rsidRDefault="00057F09" w:rsidP="00C14BC5">
            <w:pPr>
              <w:pStyle w:val="BodyText"/>
              <w:jc w:val="center"/>
              <w:rPr>
                <w:b/>
                <w:sz w:val="20"/>
              </w:rPr>
            </w:pPr>
            <w:r w:rsidRPr="00523485">
              <w:rPr>
                <w:b/>
                <w:sz w:val="20"/>
              </w:rPr>
              <w:t>Subject to PSD?</w:t>
            </w:r>
          </w:p>
        </w:tc>
      </w:tr>
      <w:tr w:rsidR="00057F09" w:rsidRPr="00A70CF4" w:rsidTr="00523485">
        <w:tc>
          <w:tcPr>
            <w:tcW w:w="1620" w:type="dxa"/>
            <w:vMerge/>
            <w:tcBorders>
              <w:top w:val="single" w:sz="6" w:space="0" w:color="auto"/>
              <w:bottom w:val="single" w:sz="12" w:space="0" w:color="auto"/>
              <w:right w:val="single" w:sz="12" w:space="0" w:color="auto"/>
            </w:tcBorders>
            <w:vAlign w:val="center"/>
          </w:tcPr>
          <w:p w:rsidR="00057F09" w:rsidRPr="00523485" w:rsidRDefault="00057F09" w:rsidP="00C14BC5">
            <w:pPr>
              <w:pStyle w:val="BodyText"/>
              <w:jc w:val="center"/>
              <w:rPr>
                <w:b/>
                <w:sz w:val="20"/>
              </w:rPr>
            </w:pPr>
          </w:p>
        </w:tc>
        <w:tc>
          <w:tcPr>
            <w:tcW w:w="3240" w:type="dxa"/>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tcPr>
          <w:p w:rsidR="00057F09" w:rsidRPr="00523485" w:rsidRDefault="00057F09" w:rsidP="00C14BC5">
            <w:pPr>
              <w:pStyle w:val="BodyText"/>
              <w:jc w:val="center"/>
              <w:rPr>
                <w:b/>
                <w:sz w:val="20"/>
              </w:rPr>
            </w:pPr>
            <w:r w:rsidRPr="00523485">
              <w:rPr>
                <w:b/>
                <w:sz w:val="20"/>
              </w:rPr>
              <w:t>Potential to Emit (PTE)</w:t>
            </w:r>
          </w:p>
        </w:tc>
        <w:tc>
          <w:tcPr>
            <w:tcW w:w="2070" w:type="dxa"/>
            <w:tcBorders>
              <w:top w:val="single" w:sz="12" w:space="0" w:color="auto"/>
              <w:left w:val="single" w:sz="12" w:space="0" w:color="auto"/>
              <w:bottom w:val="single" w:sz="12" w:space="0" w:color="auto"/>
              <w:right w:val="single" w:sz="12" w:space="0" w:color="auto"/>
            </w:tcBorders>
            <w:shd w:val="clear" w:color="auto" w:fill="C6D9F1" w:themeFill="text2" w:themeFillTint="33"/>
            <w:vAlign w:val="center"/>
          </w:tcPr>
          <w:p w:rsidR="00057F09" w:rsidRPr="00523485" w:rsidRDefault="00057F09" w:rsidP="00C14BC5">
            <w:pPr>
              <w:pStyle w:val="BodyText"/>
              <w:jc w:val="center"/>
              <w:rPr>
                <w:b/>
                <w:sz w:val="20"/>
              </w:rPr>
            </w:pPr>
            <w:r w:rsidRPr="00523485">
              <w:rPr>
                <w:b/>
                <w:sz w:val="20"/>
              </w:rPr>
              <w:t>SER</w:t>
            </w:r>
          </w:p>
        </w:tc>
        <w:tc>
          <w:tcPr>
            <w:tcW w:w="2610" w:type="dxa"/>
            <w:vMerge/>
            <w:tcBorders>
              <w:top w:val="single" w:sz="6" w:space="0" w:color="auto"/>
              <w:left w:val="single" w:sz="12" w:space="0" w:color="auto"/>
              <w:bottom w:val="single" w:sz="12" w:space="0" w:color="auto"/>
            </w:tcBorders>
            <w:vAlign w:val="center"/>
          </w:tcPr>
          <w:p w:rsidR="00057F09" w:rsidRPr="00523485" w:rsidRDefault="00057F09" w:rsidP="00C14BC5">
            <w:pPr>
              <w:pStyle w:val="BodyText"/>
              <w:jc w:val="center"/>
              <w:rPr>
                <w:b/>
                <w:sz w:val="20"/>
              </w:rPr>
            </w:pPr>
          </w:p>
        </w:tc>
      </w:tr>
      <w:tr w:rsidR="000E3976" w:rsidRPr="00A70CF4" w:rsidTr="00653B2A">
        <w:trPr>
          <w:trHeight w:hRule="exact" w:val="317"/>
        </w:trPr>
        <w:tc>
          <w:tcPr>
            <w:tcW w:w="1620" w:type="dxa"/>
            <w:tcBorders>
              <w:top w:val="single" w:sz="12"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CO</w:t>
            </w:r>
          </w:p>
        </w:tc>
        <w:tc>
          <w:tcPr>
            <w:tcW w:w="3240" w:type="dxa"/>
            <w:tcBorders>
              <w:top w:val="single" w:sz="12" w:space="0" w:color="auto"/>
              <w:left w:val="single" w:sz="12" w:space="0" w:color="auto"/>
              <w:right w:val="single" w:sz="12" w:space="0" w:color="auto"/>
            </w:tcBorders>
            <w:vAlign w:val="center"/>
          </w:tcPr>
          <w:p w:rsidR="000E3976" w:rsidRPr="00523485" w:rsidRDefault="00C01FDF" w:rsidP="000E3976">
            <w:pPr>
              <w:pStyle w:val="BodyText"/>
              <w:jc w:val="center"/>
              <w:rPr>
                <w:sz w:val="20"/>
              </w:rPr>
            </w:pPr>
            <w:r w:rsidRPr="00523485">
              <w:rPr>
                <w:sz w:val="20"/>
              </w:rPr>
              <w:t>90.7</w:t>
            </w:r>
          </w:p>
        </w:tc>
        <w:tc>
          <w:tcPr>
            <w:tcW w:w="2070" w:type="dxa"/>
            <w:tcBorders>
              <w:top w:val="single" w:sz="12" w:space="0" w:color="auto"/>
              <w:left w:val="single" w:sz="12" w:space="0" w:color="auto"/>
              <w:bottom w:val="single" w:sz="6" w:space="0" w:color="auto"/>
              <w:right w:val="single" w:sz="12" w:space="0" w:color="auto"/>
            </w:tcBorders>
            <w:vAlign w:val="center"/>
          </w:tcPr>
          <w:p w:rsidR="000E3976" w:rsidRPr="00523485" w:rsidRDefault="00A70CF4" w:rsidP="000E3976">
            <w:pPr>
              <w:pStyle w:val="BodyText"/>
              <w:jc w:val="center"/>
              <w:rPr>
                <w:sz w:val="20"/>
              </w:rPr>
            </w:pPr>
            <w:r w:rsidRPr="00523485">
              <w:rPr>
                <w:sz w:val="20"/>
              </w:rPr>
              <w:t>100</w:t>
            </w:r>
          </w:p>
        </w:tc>
        <w:tc>
          <w:tcPr>
            <w:tcW w:w="2610" w:type="dxa"/>
            <w:tcBorders>
              <w:top w:val="single" w:sz="12" w:space="0" w:color="auto"/>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NO</w:t>
            </w:r>
            <w:r w:rsidRPr="00523485">
              <w:rPr>
                <w:sz w:val="20"/>
                <w:vertAlign w:val="subscript"/>
              </w:rPr>
              <w:t>X</w:t>
            </w:r>
          </w:p>
        </w:tc>
        <w:tc>
          <w:tcPr>
            <w:tcW w:w="3240" w:type="dxa"/>
            <w:tcBorders>
              <w:left w:val="single" w:sz="12" w:space="0" w:color="auto"/>
              <w:right w:val="single" w:sz="12" w:space="0" w:color="auto"/>
            </w:tcBorders>
            <w:vAlign w:val="center"/>
          </w:tcPr>
          <w:p w:rsidR="000E3976" w:rsidRPr="00523485" w:rsidRDefault="00523485" w:rsidP="000E3976">
            <w:pPr>
              <w:pStyle w:val="BodyText"/>
              <w:jc w:val="center"/>
              <w:rPr>
                <w:sz w:val="20"/>
              </w:rPr>
            </w:pPr>
            <w:r w:rsidRPr="00523485">
              <w:rPr>
                <w:sz w:val="20"/>
              </w:rPr>
              <w:t>19.9</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A70CF4" w:rsidP="000E3976">
            <w:pPr>
              <w:pStyle w:val="BodyText"/>
              <w:jc w:val="center"/>
              <w:rPr>
                <w:sz w:val="20"/>
              </w:rPr>
            </w:pPr>
            <w:r w:rsidRPr="00523485">
              <w:rPr>
                <w:sz w:val="20"/>
              </w:rPr>
              <w:t>40</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PM</w:t>
            </w:r>
          </w:p>
        </w:tc>
        <w:tc>
          <w:tcPr>
            <w:tcW w:w="3240" w:type="dxa"/>
            <w:tcBorders>
              <w:left w:val="single" w:sz="12" w:space="0" w:color="auto"/>
              <w:right w:val="single" w:sz="12" w:space="0" w:color="auto"/>
            </w:tcBorders>
            <w:vAlign w:val="center"/>
          </w:tcPr>
          <w:p w:rsidR="000E3976" w:rsidRPr="00523485" w:rsidRDefault="00523485" w:rsidP="000E3976">
            <w:pPr>
              <w:pStyle w:val="BodyText"/>
              <w:jc w:val="center"/>
              <w:rPr>
                <w:sz w:val="20"/>
              </w:rPr>
            </w:pPr>
            <w:r w:rsidRPr="00523485">
              <w:rPr>
                <w:sz w:val="20"/>
              </w:rPr>
              <w:t>4.9</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CC2436" w:rsidP="000E3976">
            <w:pPr>
              <w:pStyle w:val="BodyText"/>
              <w:jc w:val="center"/>
              <w:rPr>
                <w:sz w:val="20"/>
              </w:rPr>
            </w:pPr>
            <w:r w:rsidRPr="00523485">
              <w:rPr>
                <w:sz w:val="20"/>
              </w:rPr>
              <w:t>25</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PM</w:t>
            </w:r>
            <w:r w:rsidRPr="00523485">
              <w:rPr>
                <w:sz w:val="20"/>
                <w:vertAlign w:val="subscript"/>
              </w:rPr>
              <w:t>10</w:t>
            </w:r>
          </w:p>
        </w:tc>
        <w:tc>
          <w:tcPr>
            <w:tcW w:w="3240" w:type="dxa"/>
            <w:tcBorders>
              <w:left w:val="single" w:sz="12" w:space="0" w:color="auto"/>
              <w:right w:val="single" w:sz="12" w:space="0" w:color="auto"/>
            </w:tcBorders>
            <w:vAlign w:val="center"/>
          </w:tcPr>
          <w:p w:rsidR="000E3976" w:rsidRPr="00523485" w:rsidRDefault="00523485" w:rsidP="000E3976">
            <w:pPr>
              <w:pStyle w:val="BodyText"/>
              <w:jc w:val="center"/>
              <w:rPr>
                <w:sz w:val="20"/>
              </w:rPr>
            </w:pPr>
            <w:r w:rsidRPr="00523485">
              <w:rPr>
                <w:sz w:val="20"/>
              </w:rPr>
              <w:t>4.9</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CC2436" w:rsidP="000E3976">
            <w:pPr>
              <w:pStyle w:val="BodyText"/>
              <w:jc w:val="center"/>
              <w:rPr>
                <w:sz w:val="20"/>
              </w:rPr>
            </w:pPr>
            <w:r w:rsidRPr="00523485">
              <w:rPr>
                <w:sz w:val="20"/>
              </w:rPr>
              <w:t>15</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PM</w:t>
            </w:r>
            <w:r w:rsidRPr="00523485">
              <w:rPr>
                <w:sz w:val="20"/>
                <w:vertAlign w:val="subscript"/>
              </w:rPr>
              <w:t>2.5</w:t>
            </w:r>
          </w:p>
        </w:tc>
        <w:tc>
          <w:tcPr>
            <w:tcW w:w="3240" w:type="dxa"/>
            <w:tcBorders>
              <w:left w:val="single" w:sz="12" w:space="0" w:color="auto"/>
              <w:right w:val="single" w:sz="12" w:space="0" w:color="auto"/>
            </w:tcBorders>
            <w:vAlign w:val="center"/>
          </w:tcPr>
          <w:p w:rsidR="000E3976" w:rsidRPr="00523485" w:rsidRDefault="00523485" w:rsidP="000E3976">
            <w:pPr>
              <w:pStyle w:val="BodyText"/>
              <w:jc w:val="center"/>
              <w:rPr>
                <w:sz w:val="20"/>
              </w:rPr>
            </w:pPr>
            <w:r w:rsidRPr="00523485">
              <w:rPr>
                <w:sz w:val="20"/>
              </w:rPr>
              <w:t>4.9</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CC2436" w:rsidP="000E3976">
            <w:pPr>
              <w:pStyle w:val="BodyText"/>
              <w:jc w:val="center"/>
              <w:rPr>
                <w:sz w:val="20"/>
              </w:rPr>
            </w:pPr>
            <w:r w:rsidRPr="00523485">
              <w:rPr>
                <w:sz w:val="20"/>
              </w:rPr>
              <w:t>10</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SO</w:t>
            </w:r>
            <w:r w:rsidRPr="00523485">
              <w:rPr>
                <w:sz w:val="20"/>
                <w:vertAlign w:val="subscript"/>
              </w:rPr>
              <w:t>2</w:t>
            </w:r>
          </w:p>
        </w:tc>
        <w:tc>
          <w:tcPr>
            <w:tcW w:w="3240" w:type="dxa"/>
            <w:tcBorders>
              <w:left w:val="single" w:sz="12" w:space="0" w:color="auto"/>
              <w:right w:val="single" w:sz="12" w:space="0" w:color="auto"/>
            </w:tcBorders>
            <w:vAlign w:val="center"/>
          </w:tcPr>
          <w:p w:rsidR="000E3976" w:rsidRPr="00523485" w:rsidRDefault="00662CC5" w:rsidP="000E3976">
            <w:pPr>
              <w:pStyle w:val="BodyText"/>
              <w:jc w:val="center"/>
              <w:rPr>
                <w:sz w:val="20"/>
              </w:rPr>
            </w:pPr>
            <w:r w:rsidRPr="00523485">
              <w:rPr>
                <w:sz w:val="20"/>
              </w:rPr>
              <w:t>36</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2C4031" w:rsidP="000E3976">
            <w:pPr>
              <w:pStyle w:val="BodyText"/>
              <w:jc w:val="center"/>
              <w:rPr>
                <w:sz w:val="20"/>
              </w:rPr>
            </w:pPr>
            <w:r w:rsidRPr="00523485">
              <w:rPr>
                <w:sz w:val="20"/>
              </w:rPr>
              <w:t>40</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0E3976"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0E3976" w:rsidRPr="00523485" w:rsidRDefault="000E3976" w:rsidP="000E3976">
            <w:pPr>
              <w:pStyle w:val="BodyText"/>
              <w:widowControl w:val="0"/>
              <w:spacing w:after="0"/>
              <w:jc w:val="center"/>
              <w:rPr>
                <w:sz w:val="20"/>
              </w:rPr>
            </w:pPr>
            <w:r w:rsidRPr="00523485">
              <w:rPr>
                <w:sz w:val="20"/>
              </w:rPr>
              <w:t>VOC</w:t>
            </w:r>
          </w:p>
        </w:tc>
        <w:tc>
          <w:tcPr>
            <w:tcW w:w="3240" w:type="dxa"/>
            <w:tcBorders>
              <w:left w:val="single" w:sz="12" w:space="0" w:color="auto"/>
              <w:right w:val="single" w:sz="12" w:space="0" w:color="auto"/>
            </w:tcBorders>
            <w:vAlign w:val="center"/>
          </w:tcPr>
          <w:p w:rsidR="000E3976" w:rsidRPr="00523485" w:rsidRDefault="00523485" w:rsidP="000E3976">
            <w:pPr>
              <w:pStyle w:val="BodyText"/>
              <w:jc w:val="center"/>
              <w:rPr>
                <w:sz w:val="20"/>
              </w:rPr>
            </w:pPr>
            <w:r w:rsidRPr="00523485">
              <w:rPr>
                <w:sz w:val="20"/>
              </w:rPr>
              <w:t>0.6</w:t>
            </w:r>
          </w:p>
        </w:tc>
        <w:tc>
          <w:tcPr>
            <w:tcW w:w="2070" w:type="dxa"/>
            <w:tcBorders>
              <w:top w:val="single" w:sz="6" w:space="0" w:color="auto"/>
              <w:left w:val="single" w:sz="12" w:space="0" w:color="auto"/>
              <w:bottom w:val="single" w:sz="6" w:space="0" w:color="auto"/>
              <w:right w:val="single" w:sz="12" w:space="0" w:color="auto"/>
            </w:tcBorders>
            <w:vAlign w:val="center"/>
          </w:tcPr>
          <w:p w:rsidR="000E3976" w:rsidRPr="00523485" w:rsidRDefault="002C4031" w:rsidP="000E3976">
            <w:pPr>
              <w:pStyle w:val="BodyText"/>
              <w:jc w:val="center"/>
              <w:rPr>
                <w:sz w:val="20"/>
              </w:rPr>
            </w:pPr>
            <w:r w:rsidRPr="00523485">
              <w:rPr>
                <w:sz w:val="20"/>
              </w:rPr>
              <w:t>40</w:t>
            </w:r>
          </w:p>
        </w:tc>
        <w:tc>
          <w:tcPr>
            <w:tcW w:w="2610" w:type="dxa"/>
            <w:tcBorders>
              <w:left w:val="single" w:sz="12" w:space="0" w:color="auto"/>
            </w:tcBorders>
            <w:vAlign w:val="center"/>
          </w:tcPr>
          <w:p w:rsidR="000E3976" w:rsidRPr="00523485" w:rsidRDefault="00662CC5" w:rsidP="000E3976">
            <w:pPr>
              <w:pStyle w:val="BodyText"/>
              <w:jc w:val="center"/>
              <w:rPr>
                <w:sz w:val="20"/>
              </w:rPr>
            </w:pPr>
            <w:r w:rsidRPr="00523485">
              <w:rPr>
                <w:sz w:val="20"/>
              </w:rPr>
              <w:t>No</w:t>
            </w:r>
          </w:p>
        </w:tc>
      </w:tr>
      <w:tr w:rsidR="005032B2" w:rsidRPr="00A70CF4" w:rsidTr="00653B2A">
        <w:trPr>
          <w:trHeight w:hRule="exact" w:val="317"/>
        </w:trPr>
        <w:tc>
          <w:tcPr>
            <w:tcW w:w="1620" w:type="dxa"/>
            <w:tcBorders>
              <w:top w:val="single" w:sz="6" w:space="0" w:color="auto"/>
              <w:bottom w:val="single" w:sz="6" w:space="0" w:color="auto"/>
              <w:right w:val="single" w:sz="12" w:space="0" w:color="auto"/>
            </w:tcBorders>
            <w:vAlign w:val="center"/>
          </w:tcPr>
          <w:p w:rsidR="005032B2" w:rsidRPr="00523485" w:rsidRDefault="005032B2" w:rsidP="000E3976">
            <w:pPr>
              <w:pStyle w:val="BodyText"/>
              <w:widowControl w:val="0"/>
              <w:spacing w:after="0"/>
              <w:jc w:val="center"/>
              <w:rPr>
                <w:sz w:val="20"/>
              </w:rPr>
            </w:pPr>
            <w:r w:rsidRPr="00523485">
              <w:rPr>
                <w:sz w:val="20"/>
              </w:rPr>
              <w:t>GHG</w:t>
            </w:r>
          </w:p>
        </w:tc>
        <w:tc>
          <w:tcPr>
            <w:tcW w:w="3240" w:type="dxa"/>
            <w:tcBorders>
              <w:left w:val="single" w:sz="12" w:space="0" w:color="auto"/>
              <w:right w:val="single" w:sz="12" w:space="0" w:color="auto"/>
            </w:tcBorders>
            <w:vAlign w:val="center"/>
          </w:tcPr>
          <w:p w:rsidR="005032B2" w:rsidRPr="00523485" w:rsidRDefault="00523485" w:rsidP="000E3976">
            <w:pPr>
              <w:pStyle w:val="BodyText"/>
              <w:jc w:val="center"/>
              <w:rPr>
                <w:sz w:val="20"/>
              </w:rPr>
            </w:pPr>
            <w:r w:rsidRPr="00523485">
              <w:rPr>
                <w:sz w:val="20"/>
              </w:rPr>
              <w:t>67,287.04</w:t>
            </w:r>
          </w:p>
        </w:tc>
        <w:tc>
          <w:tcPr>
            <w:tcW w:w="2070" w:type="dxa"/>
            <w:tcBorders>
              <w:top w:val="single" w:sz="6" w:space="0" w:color="auto"/>
              <w:left w:val="single" w:sz="12" w:space="0" w:color="auto"/>
              <w:bottom w:val="single" w:sz="6" w:space="0" w:color="auto"/>
              <w:right w:val="single" w:sz="12" w:space="0" w:color="auto"/>
            </w:tcBorders>
            <w:vAlign w:val="center"/>
          </w:tcPr>
          <w:p w:rsidR="005032B2" w:rsidRPr="00523485" w:rsidRDefault="002C4031" w:rsidP="000E3976">
            <w:pPr>
              <w:pStyle w:val="BodyText"/>
              <w:jc w:val="center"/>
              <w:rPr>
                <w:sz w:val="20"/>
              </w:rPr>
            </w:pPr>
            <w:r w:rsidRPr="00523485">
              <w:rPr>
                <w:sz w:val="20"/>
              </w:rPr>
              <w:t>75,000</w:t>
            </w:r>
          </w:p>
        </w:tc>
        <w:tc>
          <w:tcPr>
            <w:tcW w:w="2610" w:type="dxa"/>
            <w:tcBorders>
              <w:left w:val="single" w:sz="12" w:space="0" w:color="auto"/>
            </w:tcBorders>
            <w:vAlign w:val="center"/>
          </w:tcPr>
          <w:p w:rsidR="005032B2" w:rsidRPr="00523485" w:rsidRDefault="00662CC5" w:rsidP="000E3976">
            <w:pPr>
              <w:pStyle w:val="BodyText"/>
              <w:jc w:val="center"/>
              <w:rPr>
                <w:sz w:val="20"/>
              </w:rPr>
            </w:pPr>
            <w:r w:rsidRPr="00523485">
              <w:rPr>
                <w:sz w:val="20"/>
              </w:rPr>
              <w:t>No</w:t>
            </w:r>
          </w:p>
        </w:tc>
      </w:tr>
      <w:tr w:rsidR="000E3976" w:rsidRPr="00A70CF4" w:rsidTr="00A55B74">
        <w:trPr>
          <w:trHeight w:val="1452"/>
        </w:trPr>
        <w:tc>
          <w:tcPr>
            <w:tcW w:w="9540" w:type="dxa"/>
            <w:gridSpan w:val="4"/>
          </w:tcPr>
          <w:p w:rsidR="000E3976" w:rsidRPr="00294B8A" w:rsidRDefault="009715B9" w:rsidP="00D82394">
            <w:pPr>
              <w:pStyle w:val="BodyText"/>
              <w:numPr>
                <w:ilvl w:val="0"/>
                <w:numId w:val="13"/>
              </w:numPr>
              <w:contextualSpacing/>
              <w:rPr>
                <w:sz w:val="18"/>
                <w:szCs w:val="18"/>
              </w:rPr>
            </w:pPr>
            <w:r w:rsidRPr="00294B8A">
              <w:rPr>
                <w:sz w:val="18"/>
                <w:szCs w:val="18"/>
              </w:rPr>
              <w:t xml:space="preserve">Since the flare is a new unit, </w:t>
            </w:r>
            <w:r w:rsidR="00D82394" w:rsidRPr="00294B8A">
              <w:rPr>
                <w:sz w:val="18"/>
                <w:szCs w:val="18"/>
              </w:rPr>
              <w:t>there are no baseline emissions.</w:t>
            </w:r>
          </w:p>
          <w:p w:rsidR="00D82394" w:rsidRPr="00294B8A" w:rsidRDefault="00A91740" w:rsidP="00A91740">
            <w:pPr>
              <w:pStyle w:val="BodyText"/>
              <w:numPr>
                <w:ilvl w:val="0"/>
                <w:numId w:val="13"/>
              </w:numPr>
              <w:contextualSpacing/>
              <w:rPr>
                <w:sz w:val="18"/>
                <w:szCs w:val="18"/>
              </w:rPr>
            </w:pPr>
            <w:r w:rsidRPr="00294B8A">
              <w:rPr>
                <w:sz w:val="18"/>
                <w:szCs w:val="18"/>
              </w:rPr>
              <w:t xml:space="preserve">PTE were based on the following operating parameters:  </w:t>
            </w:r>
            <w:bookmarkStart w:id="13" w:name="_Hlk520704353"/>
            <w:r w:rsidRPr="00294B8A">
              <w:rPr>
                <w:sz w:val="18"/>
                <w:szCs w:val="18"/>
              </w:rPr>
              <w:t>1,156.32 million scf</w:t>
            </w:r>
            <w:bookmarkEnd w:id="13"/>
            <w:r w:rsidRPr="00294B8A">
              <w:rPr>
                <w:sz w:val="18"/>
                <w:szCs w:val="18"/>
              </w:rPr>
              <w:t>; methane content of landfill gas 50%, and heat content of methane 1,012 Btu/cubic feet.</w:t>
            </w:r>
          </w:p>
          <w:p w:rsidR="00BD32EE" w:rsidRPr="00BD32EE" w:rsidRDefault="00A91740" w:rsidP="00BD32EE">
            <w:pPr>
              <w:pStyle w:val="BodyText"/>
              <w:numPr>
                <w:ilvl w:val="0"/>
                <w:numId w:val="13"/>
              </w:numPr>
              <w:spacing w:after="0"/>
              <w:contextualSpacing/>
              <w:rPr>
                <w:sz w:val="20"/>
              </w:rPr>
            </w:pPr>
            <w:r w:rsidRPr="00294B8A">
              <w:rPr>
                <w:sz w:val="18"/>
                <w:szCs w:val="18"/>
              </w:rPr>
              <w:t>PTE were based on the following emission factors and bases:  CO – 0.31 lb/MMBtu (flare manufacturer); NOx – 0.068 lb/MMBtu (flare manufacturer); PM, PM</w:t>
            </w:r>
            <w:r w:rsidRPr="00294B8A">
              <w:rPr>
                <w:sz w:val="18"/>
                <w:szCs w:val="18"/>
                <w:vertAlign w:val="subscript"/>
              </w:rPr>
              <w:t>10</w:t>
            </w:r>
            <w:r w:rsidRPr="00294B8A">
              <w:rPr>
                <w:sz w:val="18"/>
                <w:szCs w:val="18"/>
              </w:rPr>
              <w:t>, &amp; PM</w:t>
            </w:r>
            <w:r w:rsidRPr="00294B8A">
              <w:rPr>
                <w:sz w:val="18"/>
                <w:szCs w:val="18"/>
                <w:vertAlign w:val="subscript"/>
              </w:rPr>
              <w:t>2.5</w:t>
            </w:r>
            <w:r w:rsidRPr="00294B8A">
              <w:rPr>
                <w:sz w:val="18"/>
                <w:szCs w:val="18"/>
              </w:rPr>
              <w:t xml:space="preserve"> – 17 lb/million cf of methane (AP-42, Table 2.4-5); SO</w:t>
            </w:r>
            <w:r w:rsidRPr="00294B8A">
              <w:rPr>
                <w:sz w:val="18"/>
                <w:szCs w:val="18"/>
                <w:vertAlign w:val="subscript"/>
              </w:rPr>
              <w:t>2</w:t>
            </w:r>
            <w:r w:rsidRPr="00294B8A">
              <w:rPr>
                <w:sz w:val="18"/>
                <w:szCs w:val="18"/>
              </w:rPr>
              <w:t xml:space="preserve"> – PSD avoidance permit limit of 36 tons/year; VOC </w:t>
            </w:r>
            <w:r w:rsidR="00BD32EE" w:rsidRPr="00294B8A">
              <w:rPr>
                <w:sz w:val="18"/>
                <w:szCs w:val="18"/>
              </w:rPr>
              <w:t>–</w:t>
            </w:r>
            <w:r w:rsidRPr="00294B8A">
              <w:rPr>
                <w:sz w:val="18"/>
                <w:szCs w:val="18"/>
              </w:rPr>
              <w:t xml:space="preserve"> </w:t>
            </w:r>
            <w:r w:rsidR="00BD32EE" w:rsidRPr="00294B8A">
              <w:rPr>
                <w:sz w:val="18"/>
                <w:szCs w:val="18"/>
              </w:rPr>
              <w:t xml:space="preserve">232.05 </w:t>
            </w:r>
            <w:r w:rsidR="00EA273A">
              <w:rPr>
                <w:sz w:val="18"/>
                <w:szCs w:val="18"/>
              </w:rPr>
              <w:t>parts per million by volume (</w:t>
            </w:r>
            <w:r w:rsidR="00BD32EE" w:rsidRPr="00294B8A">
              <w:rPr>
                <w:sz w:val="18"/>
                <w:szCs w:val="18"/>
              </w:rPr>
              <w:t>ppmv</w:t>
            </w:r>
            <w:r w:rsidR="00EA273A">
              <w:rPr>
                <w:sz w:val="18"/>
                <w:szCs w:val="18"/>
              </w:rPr>
              <w:t>)</w:t>
            </w:r>
            <w:r w:rsidR="00BD32EE" w:rsidRPr="00294B8A">
              <w:rPr>
                <w:sz w:val="18"/>
                <w:szCs w:val="18"/>
              </w:rPr>
              <w:t xml:space="preserve"> as hexane (Note C of AP-42, Table 2.4-2); GHG – 40 CFR 98, Tables A-1 &amp; C-2.</w:t>
            </w:r>
          </w:p>
        </w:tc>
      </w:tr>
    </w:tbl>
    <w:p w:rsidR="000E3976" w:rsidRPr="005118BA" w:rsidRDefault="005118BA" w:rsidP="005118BA">
      <w:pPr>
        <w:pStyle w:val="BodyText"/>
        <w:spacing w:before="120"/>
        <w:rPr>
          <w:sz w:val="22"/>
        </w:rPr>
      </w:pPr>
      <w:r w:rsidRPr="005118BA">
        <w:rPr>
          <w:sz w:val="22"/>
        </w:rPr>
        <w:t xml:space="preserve">As shown in </w:t>
      </w:r>
      <w:r w:rsidR="000D2FBE" w:rsidRPr="00E30691">
        <w:rPr>
          <w:sz w:val="22"/>
        </w:rPr>
        <w:fldChar w:fldCharType="begin"/>
      </w:r>
      <w:r w:rsidR="000D2FBE" w:rsidRPr="00E30691">
        <w:rPr>
          <w:sz w:val="22"/>
        </w:rPr>
        <w:instrText xml:space="preserve"> REF _Ref514926727 \h  \* MERGEFORMAT </w:instrText>
      </w:r>
      <w:r w:rsidR="000D2FBE" w:rsidRPr="00E30691">
        <w:rPr>
          <w:sz w:val="22"/>
        </w:rPr>
      </w:r>
      <w:r w:rsidR="000D2FBE" w:rsidRPr="00E30691">
        <w:rPr>
          <w:sz w:val="22"/>
        </w:rPr>
        <w:fldChar w:fldCharType="separate"/>
      </w:r>
      <w:r w:rsidR="000D2FBE" w:rsidRPr="00DE4EB5">
        <w:rPr>
          <w:b/>
          <w:sz w:val="22"/>
          <w:szCs w:val="22"/>
        </w:rPr>
        <w:t xml:space="preserve">Table </w:t>
      </w:r>
      <w:r w:rsidR="000D2FBE" w:rsidRPr="00DE4EB5">
        <w:rPr>
          <w:b/>
          <w:noProof/>
          <w:sz w:val="22"/>
          <w:szCs w:val="22"/>
        </w:rPr>
        <w:t>4</w:t>
      </w:r>
      <w:r w:rsidR="000D2FBE" w:rsidRPr="00E30691">
        <w:rPr>
          <w:sz w:val="22"/>
        </w:rPr>
        <w:fldChar w:fldCharType="end"/>
      </w:r>
      <w:r w:rsidRPr="005118BA">
        <w:rPr>
          <w:sz w:val="22"/>
        </w:rPr>
        <w:t>, total project emissions will not exceed the PSD significant emissions rates; therefore, the project is not subject to PSD preconstruction review.</w:t>
      </w:r>
    </w:p>
    <w:p w:rsidR="00193F10" w:rsidRPr="000D2FBE" w:rsidRDefault="00617209" w:rsidP="000D2FBE">
      <w:pPr>
        <w:pStyle w:val="ListParagraph"/>
        <w:numPr>
          <w:ilvl w:val="0"/>
          <w:numId w:val="6"/>
        </w:numPr>
        <w:spacing w:after="120"/>
        <w:ind w:left="720" w:hanging="720"/>
        <w:contextualSpacing w:val="0"/>
        <w:rPr>
          <w:b/>
          <w:caps/>
          <w:sz w:val="22"/>
          <w:szCs w:val="22"/>
        </w:rPr>
      </w:pPr>
      <w:r>
        <w:rPr>
          <w:b/>
          <w:caps/>
          <w:sz w:val="22"/>
        </w:rPr>
        <w:t>Department review</w:t>
      </w:r>
    </w:p>
    <w:p w:rsidR="00E14E8D" w:rsidRPr="00E14E8D" w:rsidRDefault="00A55B74" w:rsidP="00B960D9">
      <w:pPr>
        <w:pStyle w:val="BodyText"/>
        <w:widowControl w:val="0"/>
        <w:rPr>
          <w:sz w:val="22"/>
        </w:rPr>
      </w:pPr>
      <w:r w:rsidRPr="00993F76">
        <w:rPr>
          <w:sz w:val="22"/>
          <w:szCs w:val="22"/>
        </w:rPr>
        <w:t>The purpose of this project is to authorize</w:t>
      </w:r>
      <w:r>
        <w:rPr>
          <w:sz w:val="22"/>
          <w:szCs w:val="22"/>
        </w:rPr>
        <w:t xml:space="preserve"> the installation of a</w:t>
      </w:r>
      <w:r w:rsidR="00655945">
        <w:rPr>
          <w:sz w:val="22"/>
          <w:szCs w:val="22"/>
        </w:rPr>
        <w:t xml:space="preserve"> </w:t>
      </w:r>
      <w:r w:rsidR="00655945" w:rsidRPr="00655945">
        <w:rPr>
          <w:sz w:val="22"/>
          <w:szCs w:val="22"/>
        </w:rPr>
        <w:t>3,000 scfm open flare with flow limited to 12- month rolling total of 1,156.</w:t>
      </w:r>
      <w:r w:rsidR="0068361F">
        <w:rPr>
          <w:sz w:val="22"/>
          <w:szCs w:val="22"/>
        </w:rPr>
        <w:t xml:space="preserve">32 </w:t>
      </w:r>
      <w:r w:rsidR="00655945" w:rsidRPr="00655945">
        <w:rPr>
          <w:sz w:val="22"/>
          <w:szCs w:val="22"/>
        </w:rPr>
        <w:t>MMscf</w:t>
      </w:r>
      <w:r w:rsidR="00405422">
        <w:rPr>
          <w:sz w:val="22"/>
          <w:szCs w:val="22"/>
        </w:rPr>
        <w:t xml:space="preserve">.  </w:t>
      </w:r>
      <w:r w:rsidR="004A2F83">
        <w:rPr>
          <w:sz w:val="22"/>
          <w:szCs w:val="22"/>
        </w:rPr>
        <w:t xml:space="preserve">The main objective of the flare is to combust the landfill gas that is generated </w:t>
      </w:r>
      <w:r w:rsidR="005C0640">
        <w:rPr>
          <w:sz w:val="22"/>
          <w:szCs w:val="22"/>
        </w:rPr>
        <w:t xml:space="preserve">from the decomposition of the municipal solid waste.  Efficient collection and control of the landfill gas prevents off-site </w:t>
      </w:r>
      <w:r w:rsidR="00A32DD9">
        <w:rPr>
          <w:sz w:val="22"/>
          <w:szCs w:val="22"/>
        </w:rPr>
        <w:t>objectionable odor</w:t>
      </w:r>
      <w:r w:rsidR="000D2FBE">
        <w:rPr>
          <w:sz w:val="22"/>
          <w:szCs w:val="22"/>
        </w:rPr>
        <w:t>s</w:t>
      </w:r>
      <w:r w:rsidR="00A32DD9">
        <w:rPr>
          <w:sz w:val="22"/>
          <w:szCs w:val="22"/>
        </w:rPr>
        <w:t xml:space="preserve"> and migration of landfill gas.  </w:t>
      </w:r>
      <w:r w:rsidR="00D27701">
        <w:rPr>
          <w:sz w:val="22"/>
          <w:szCs w:val="22"/>
        </w:rPr>
        <w:t>To limit the emissions of SO</w:t>
      </w:r>
      <w:r w:rsidR="00D27701" w:rsidRPr="00D27701">
        <w:rPr>
          <w:sz w:val="22"/>
          <w:szCs w:val="22"/>
          <w:vertAlign w:val="subscript"/>
        </w:rPr>
        <w:t>2</w:t>
      </w:r>
      <w:r w:rsidR="00A32DD9">
        <w:rPr>
          <w:sz w:val="22"/>
          <w:szCs w:val="22"/>
        </w:rPr>
        <w:t xml:space="preserve"> from the flare</w:t>
      </w:r>
      <w:r w:rsidR="00D27701">
        <w:rPr>
          <w:sz w:val="22"/>
          <w:szCs w:val="22"/>
        </w:rPr>
        <w:t>,</w:t>
      </w:r>
      <w:r w:rsidR="00A32DD9">
        <w:rPr>
          <w:sz w:val="22"/>
          <w:szCs w:val="22"/>
        </w:rPr>
        <w:t xml:space="preserve"> the</w:t>
      </w:r>
      <w:r w:rsidR="00D27701">
        <w:rPr>
          <w:sz w:val="22"/>
          <w:szCs w:val="22"/>
        </w:rPr>
        <w:t xml:space="preserve"> applicant proposes</w:t>
      </w:r>
      <w:r w:rsidR="00405422">
        <w:rPr>
          <w:sz w:val="22"/>
          <w:szCs w:val="22"/>
        </w:rPr>
        <w:t xml:space="preserve"> the </w:t>
      </w:r>
      <w:r w:rsidR="00985BBA">
        <w:rPr>
          <w:sz w:val="22"/>
          <w:szCs w:val="22"/>
        </w:rPr>
        <w:t>installation of a sulfur treatment system to remove H</w:t>
      </w:r>
      <w:r w:rsidR="00985BBA" w:rsidRPr="00985BBA">
        <w:rPr>
          <w:sz w:val="22"/>
          <w:szCs w:val="22"/>
          <w:vertAlign w:val="subscript"/>
        </w:rPr>
        <w:t>2</w:t>
      </w:r>
      <w:r w:rsidR="00985BBA">
        <w:rPr>
          <w:sz w:val="22"/>
          <w:szCs w:val="22"/>
        </w:rPr>
        <w:t>S from the landfill gas prior to combustion.</w:t>
      </w:r>
      <w:r w:rsidR="008A4564">
        <w:rPr>
          <w:sz w:val="22"/>
          <w:szCs w:val="22"/>
        </w:rPr>
        <w:t xml:space="preserve">  </w:t>
      </w:r>
    </w:p>
    <w:p w:rsidR="004A5488" w:rsidRPr="000D2FBE" w:rsidRDefault="00DC5AAE" w:rsidP="000D2FBE">
      <w:pPr>
        <w:pStyle w:val="ListParagraph"/>
        <w:numPr>
          <w:ilvl w:val="1"/>
          <w:numId w:val="6"/>
        </w:numPr>
        <w:spacing w:after="120"/>
        <w:ind w:left="720" w:hanging="720"/>
        <w:contextualSpacing w:val="0"/>
        <w:rPr>
          <w:b/>
          <w:caps/>
          <w:sz w:val="22"/>
          <w:szCs w:val="22"/>
        </w:rPr>
      </w:pPr>
      <w:r>
        <w:rPr>
          <w:b/>
          <w:sz w:val="22"/>
        </w:rPr>
        <w:t>Sulfur Treatment System</w:t>
      </w:r>
    </w:p>
    <w:p w:rsidR="00DC5AAE" w:rsidRDefault="002C4180" w:rsidP="002C4180">
      <w:pPr>
        <w:widowControl w:val="0"/>
        <w:autoSpaceDE w:val="0"/>
        <w:autoSpaceDN w:val="0"/>
        <w:adjustRightInd w:val="0"/>
        <w:spacing w:after="120"/>
        <w:rPr>
          <w:sz w:val="22"/>
        </w:rPr>
      </w:pPr>
      <w:r>
        <w:rPr>
          <w:sz w:val="22"/>
        </w:rPr>
        <w:t>The applicant</w:t>
      </w:r>
      <w:r w:rsidRPr="002C4180">
        <w:rPr>
          <w:sz w:val="22"/>
        </w:rPr>
        <w:t xml:space="preserve"> is proposing to use a system of vapor tanks filled with sulfur adsorbent media, as</w:t>
      </w:r>
      <w:r>
        <w:rPr>
          <w:sz w:val="22"/>
        </w:rPr>
        <w:t xml:space="preserve"> </w:t>
      </w:r>
      <w:r w:rsidRPr="002C4180">
        <w:rPr>
          <w:sz w:val="22"/>
        </w:rPr>
        <w:t xml:space="preserve">needed and along with other methods, to remove </w:t>
      </w:r>
      <w:bookmarkStart w:id="14" w:name="_Hlk520444363"/>
      <w:r w:rsidRPr="002C4180">
        <w:rPr>
          <w:sz w:val="22"/>
        </w:rPr>
        <w:t>H</w:t>
      </w:r>
      <w:r w:rsidRPr="00E65015">
        <w:rPr>
          <w:sz w:val="22"/>
          <w:vertAlign w:val="subscript"/>
        </w:rPr>
        <w:t>2</w:t>
      </w:r>
      <w:r w:rsidRPr="002C4180">
        <w:rPr>
          <w:sz w:val="22"/>
        </w:rPr>
        <w:t>S</w:t>
      </w:r>
      <w:bookmarkEnd w:id="14"/>
      <w:r w:rsidRPr="002C4180">
        <w:rPr>
          <w:sz w:val="22"/>
        </w:rPr>
        <w:t xml:space="preserve"> from landfill gas prior to flaring to ensure</w:t>
      </w:r>
      <w:r>
        <w:rPr>
          <w:sz w:val="22"/>
        </w:rPr>
        <w:t xml:space="preserve"> </w:t>
      </w:r>
      <w:r w:rsidRPr="002C4180">
        <w:rPr>
          <w:sz w:val="22"/>
        </w:rPr>
        <w:t>SO</w:t>
      </w:r>
      <w:r w:rsidRPr="00E65015">
        <w:rPr>
          <w:sz w:val="22"/>
          <w:vertAlign w:val="subscript"/>
        </w:rPr>
        <w:t>2</w:t>
      </w:r>
      <w:r w:rsidRPr="002C4180">
        <w:rPr>
          <w:sz w:val="22"/>
        </w:rPr>
        <w:t xml:space="preserve"> emissions remain below the 36 TPY emissions limit on a twelve-month rolling</w:t>
      </w:r>
      <w:r>
        <w:rPr>
          <w:sz w:val="22"/>
        </w:rPr>
        <w:t xml:space="preserve"> </w:t>
      </w:r>
      <w:r w:rsidRPr="002C4180">
        <w:rPr>
          <w:sz w:val="22"/>
        </w:rPr>
        <w:t xml:space="preserve">total basis. </w:t>
      </w:r>
      <w:r w:rsidR="009210EF">
        <w:rPr>
          <w:sz w:val="22"/>
        </w:rPr>
        <w:t xml:space="preserve"> </w:t>
      </w:r>
      <w:r w:rsidRPr="002C4180">
        <w:rPr>
          <w:sz w:val="22"/>
        </w:rPr>
        <w:t>The primary treatment media will be Sulfatreat, but other similar media may be</w:t>
      </w:r>
      <w:r>
        <w:rPr>
          <w:sz w:val="22"/>
        </w:rPr>
        <w:t xml:space="preserve"> </w:t>
      </w:r>
      <w:r w:rsidRPr="002C4180">
        <w:rPr>
          <w:sz w:val="22"/>
        </w:rPr>
        <w:t>used.</w:t>
      </w:r>
      <w:r w:rsidR="00AE0781">
        <w:rPr>
          <w:sz w:val="22"/>
        </w:rPr>
        <w:t xml:space="preserve">  The basic design of the </w:t>
      </w:r>
      <w:r w:rsidR="00AE6ADF">
        <w:rPr>
          <w:sz w:val="22"/>
        </w:rPr>
        <w:t>S</w:t>
      </w:r>
      <w:r w:rsidR="00AE0781">
        <w:rPr>
          <w:sz w:val="22"/>
        </w:rPr>
        <w:t>ulfatreat system is depicted</w:t>
      </w:r>
      <w:r w:rsidR="00A0570B">
        <w:rPr>
          <w:rStyle w:val="FootnoteReference"/>
          <w:sz w:val="22"/>
        </w:rPr>
        <w:footnoteReference w:id="1"/>
      </w:r>
      <w:r w:rsidR="00AE0781">
        <w:rPr>
          <w:sz w:val="22"/>
        </w:rPr>
        <w:t xml:space="preserve"> in </w:t>
      </w:r>
      <w:r w:rsidR="00AE0781" w:rsidRPr="00AE0781">
        <w:rPr>
          <w:sz w:val="22"/>
        </w:rPr>
        <w:fldChar w:fldCharType="begin"/>
      </w:r>
      <w:r w:rsidR="00AE0781" w:rsidRPr="00AE0781">
        <w:rPr>
          <w:sz w:val="22"/>
        </w:rPr>
        <w:instrText xml:space="preserve"> REF _Ref520444990 \h  \* MERGEFORMAT </w:instrText>
      </w:r>
      <w:r w:rsidR="00AE0781" w:rsidRPr="00AE0781">
        <w:rPr>
          <w:sz w:val="22"/>
        </w:rPr>
      </w:r>
      <w:r w:rsidR="00AE0781" w:rsidRPr="00AE0781">
        <w:rPr>
          <w:sz w:val="22"/>
        </w:rPr>
        <w:fldChar w:fldCharType="separate"/>
      </w:r>
      <w:r w:rsidR="00AE0781" w:rsidRPr="00AE0781">
        <w:rPr>
          <w:b/>
          <w:color w:val="000000" w:themeColor="text1"/>
          <w:sz w:val="22"/>
          <w:szCs w:val="22"/>
        </w:rPr>
        <w:t xml:space="preserve">Figure </w:t>
      </w:r>
      <w:r w:rsidR="00AE0781" w:rsidRPr="00AE0781">
        <w:rPr>
          <w:b/>
          <w:noProof/>
          <w:color w:val="000000" w:themeColor="text1"/>
          <w:sz w:val="22"/>
          <w:szCs w:val="22"/>
        </w:rPr>
        <w:t>4</w:t>
      </w:r>
      <w:r w:rsidR="00AE0781" w:rsidRPr="00AE0781">
        <w:rPr>
          <w:sz w:val="22"/>
        </w:rPr>
        <w:fldChar w:fldCharType="end"/>
      </w:r>
      <w:r w:rsidR="00AE0781">
        <w:rPr>
          <w:sz w:val="22"/>
        </w:rPr>
        <w:t>.</w:t>
      </w:r>
    </w:p>
    <w:p w:rsidR="00E41691" w:rsidRDefault="00E41691" w:rsidP="00E41691">
      <w:pPr>
        <w:widowControl w:val="0"/>
        <w:autoSpaceDE w:val="0"/>
        <w:autoSpaceDN w:val="0"/>
        <w:adjustRightInd w:val="0"/>
        <w:spacing w:after="120"/>
        <w:rPr>
          <w:sz w:val="22"/>
        </w:rPr>
      </w:pPr>
      <w:r w:rsidRPr="00E41691">
        <w:rPr>
          <w:sz w:val="22"/>
        </w:rPr>
        <w:t xml:space="preserve">Sulfatreat is a widely used granular iron oxide–based </w:t>
      </w:r>
      <w:r w:rsidRPr="002C4180">
        <w:rPr>
          <w:sz w:val="22"/>
        </w:rPr>
        <w:t>H</w:t>
      </w:r>
      <w:r w:rsidRPr="00E65015">
        <w:rPr>
          <w:sz w:val="22"/>
          <w:vertAlign w:val="subscript"/>
        </w:rPr>
        <w:t>2</w:t>
      </w:r>
      <w:r w:rsidRPr="002C4180">
        <w:rPr>
          <w:sz w:val="22"/>
        </w:rPr>
        <w:t>S</w:t>
      </w:r>
      <w:r w:rsidRPr="00E41691">
        <w:rPr>
          <w:sz w:val="22"/>
        </w:rPr>
        <w:t xml:space="preserve"> adsorbent product manufactured by</w:t>
      </w:r>
      <w:r>
        <w:rPr>
          <w:sz w:val="22"/>
        </w:rPr>
        <w:t xml:space="preserve"> </w:t>
      </w:r>
      <w:r w:rsidRPr="00E41691">
        <w:rPr>
          <w:sz w:val="22"/>
        </w:rPr>
        <w:t xml:space="preserve">Schlumberger that is specifically engineered for removal of </w:t>
      </w:r>
      <w:r w:rsidRPr="002C4180">
        <w:rPr>
          <w:sz w:val="22"/>
        </w:rPr>
        <w:t>H</w:t>
      </w:r>
      <w:r w:rsidRPr="00E65015">
        <w:rPr>
          <w:sz w:val="22"/>
          <w:vertAlign w:val="subscript"/>
        </w:rPr>
        <w:t>2</w:t>
      </w:r>
      <w:r w:rsidRPr="002C4180">
        <w:rPr>
          <w:sz w:val="22"/>
        </w:rPr>
        <w:t>S</w:t>
      </w:r>
      <w:r w:rsidRPr="00E41691">
        <w:rPr>
          <w:sz w:val="22"/>
        </w:rPr>
        <w:t xml:space="preserve"> from both saturated and dry</w:t>
      </w:r>
      <w:r>
        <w:rPr>
          <w:sz w:val="22"/>
        </w:rPr>
        <w:t xml:space="preserve"> </w:t>
      </w:r>
      <w:r w:rsidRPr="00E41691">
        <w:rPr>
          <w:sz w:val="22"/>
        </w:rPr>
        <w:t xml:space="preserve">gas. </w:t>
      </w:r>
      <w:r>
        <w:rPr>
          <w:sz w:val="22"/>
        </w:rPr>
        <w:t xml:space="preserve"> </w:t>
      </w:r>
      <w:r w:rsidRPr="00E41691">
        <w:rPr>
          <w:sz w:val="22"/>
        </w:rPr>
        <w:t>There are various formulations of the product that have different removal efficiencies,</w:t>
      </w:r>
      <w:r>
        <w:rPr>
          <w:sz w:val="22"/>
        </w:rPr>
        <w:t xml:space="preserve"> </w:t>
      </w:r>
      <w:r w:rsidRPr="00E41691">
        <w:rPr>
          <w:sz w:val="22"/>
        </w:rPr>
        <w:t xml:space="preserve">benefits, and components. </w:t>
      </w:r>
      <w:r>
        <w:rPr>
          <w:sz w:val="22"/>
        </w:rPr>
        <w:t xml:space="preserve"> </w:t>
      </w:r>
      <w:r w:rsidRPr="00E41691">
        <w:rPr>
          <w:sz w:val="22"/>
        </w:rPr>
        <w:t xml:space="preserve">The general design for using adsorbent media to remove </w:t>
      </w:r>
      <w:r w:rsidRPr="002C4180">
        <w:rPr>
          <w:sz w:val="22"/>
        </w:rPr>
        <w:t>H</w:t>
      </w:r>
      <w:r w:rsidRPr="00E65015">
        <w:rPr>
          <w:sz w:val="22"/>
          <w:vertAlign w:val="subscript"/>
        </w:rPr>
        <w:t>2</w:t>
      </w:r>
      <w:r w:rsidRPr="002C4180">
        <w:rPr>
          <w:sz w:val="22"/>
        </w:rPr>
        <w:t>S</w:t>
      </w:r>
      <w:r w:rsidRPr="00E41691">
        <w:rPr>
          <w:sz w:val="22"/>
        </w:rPr>
        <w:t xml:space="preserve"> from landfill gas is a fixed bed,</w:t>
      </w:r>
      <w:r>
        <w:rPr>
          <w:sz w:val="22"/>
        </w:rPr>
        <w:t xml:space="preserve"> </w:t>
      </w:r>
      <w:r w:rsidRPr="00E41691">
        <w:rPr>
          <w:sz w:val="22"/>
        </w:rPr>
        <w:t>sealed vessel in which landfill gas enters through the inlet, passes through the adsorbent media</w:t>
      </w:r>
      <w:r>
        <w:rPr>
          <w:sz w:val="22"/>
        </w:rPr>
        <w:t xml:space="preserve"> </w:t>
      </w:r>
      <w:r w:rsidRPr="00E41691">
        <w:rPr>
          <w:sz w:val="22"/>
        </w:rPr>
        <w:t xml:space="preserve">that strips </w:t>
      </w:r>
      <w:r w:rsidR="004802E0" w:rsidRPr="002C4180">
        <w:rPr>
          <w:sz w:val="22"/>
        </w:rPr>
        <w:t>H</w:t>
      </w:r>
      <w:r w:rsidR="004802E0" w:rsidRPr="00E65015">
        <w:rPr>
          <w:sz w:val="22"/>
          <w:vertAlign w:val="subscript"/>
        </w:rPr>
        <w:t>2</w:t>
      </w:r>
      <w:r w:rsidR="004802E0" w:rsidRPr="002C4180">
        <w:rPr>
          <w:sz w:val="22"/>
        </w:rPr>
        <w:t>S</w:t>
      </w:r>
      <w:r w:rsidRPr="00E41691">
        <w:rPr>
          <w:sz w:val="22"/>
        </w:rPr>
        <w:t xml:space="preserve">, and exits through the outlet. </w:t>
      </w:r>
      <w:r w:rsidR="004802E0">
        <w:rPr>
          <w:sz w:val="22"/>
        </w:rPr>
        <w:t xml:space="preserve"> </w:t>
      </w:r>
      <w:r w:rsidRPr="00E41691">
        <w:rPr>
          <w:sz w:val="22"/>
        </w:rPr>
        <w:t>Initially</w:t>
      </w:r>
      <w:r w:rsidR="004802E0">
        <w:rPr>
          <w:sz w:val="22"/>
        </w:rPr>
        <w:t>,</w:t>
      </w:r>
      <w:r w:rsidRPr="00E41691">
        <w:rPr>
          <w:sz w:val="22"/>
        </w:rPr>
        <w:t xml:space="preserve"> </w:t>
      </w:r>
      <w:r w:rsidR="004802E0" w:rsidRPr="002C4180">
        <w:rPr>
          <w:sz w:val="22"/>
        </w:rPr>
        <w:t>H</w:t>
      </w:r>
      <w:r w:rsidR="004802E0" w:rsidRPr="00E65015">
        <w:rPr>
          <w:sz w:val="22"/>
          <w:vertAlign w:val="subscript"/>
        </w:rPr>
        <w:t>2</w:t>
      </w:r>
      <w:r w:rsidR="004802E0" w:rsidRPr="002C4180">
        <w:rPr>
          <w:sz w:val="22"/>
        </w:rPr>
        <w:t>S</w:t>
      </w:r>
      <w:r w:rsidRPr="00E41691">
        <w:rPr>
          <w:sz w:val="22"/>
        </w:rPr>
        <w:t xml:space="preserve"> is</w:t>
      </w:r>
      <w:r>
        <w:rPr>
          <w:sz w:val="22"/>
        </w:rPr>
        <w:t xml:space="preserve"> </w:t>
      </w:r>
      <w:r w:rsidRPr="00E41691">
        <w:rPr>
          <w:sz w:val="22"/>
        </w:rPr>
        <w:t xml:space="preserve">completely stripped from the landfill gas. </w:t>
      </w:r>
      <w:r w:rsidR="00AE0781">
        <w:rPr>
          <w:sz w:val="22"/>
        </w:rPr>
        <w:t xml:space="preserve"> </w:t>
      </w:r>
      <w:r w:rsidRPr="00E41691">
        <w:rPr>
          <w:sz w:val="22"/>
        </w:rPr>
        <w:t>As the adsorbent material is spent the outlet</w:t>
      </w:r>
      <w:r>
        <w:rPr>
          <w:sz w:val="22"/>
        </w:rPr>
        <w:t xml:space="preserve"> </w:t>
      </w:r>
      <w:r w:rsidRPr="00E41691">
        <w:rPr>
          <w:sz w:val="22"/>
        </w:rPr>
        <w:t>concentration begins to increase to an outlet specification or the inlet concentration, indicating</w:t>
      </w:r>
      <w:r>
        <w:rPr>
          <w:sz w:val="22"/>
        </w:rPr>
        <w:t xml:space="preserve"> </w:t>
      </w:r>
      <w:r w:rsidRPr="00E41691">
        <w:rPr>
          <w:sz w:val="22"/>
        </w:rPr>
        <w:t xml:space="preserve">that the media needs to be replaced. </w:t>
      </w:r>
      <w:r w:rsidR="00AE0781">
        <w:rPr>
          <w:sz w:val="22"/>
        </w:rPr>
        <w:t xml:space="preserve"> </w:t>
      </w:r>
      <w:r w:rsidRPr="00E41691">
        <w:rPr>
          <w:sz w:val="22"/>
        </w:rPr>
        <w:t>The life of the media will vary upon size of the vessel,</w:t>
      </w:r>
      <w:r>
        <w:rPr>
          <w:sz w:val="22"/>
        </w:rPr>
        <w:t xml:space="preserve"> </w:t>
      </w:r>
      <w:r w:rsidRPr="00E41691">
        <w:rPr>
          <w:sz w:val="22"/>
        </w:rPr>
        <w:t xml:space="preserve">type of media, inlet concentrations, and gas flow rates. </w:t>
      </w:r>
      <w:r w:rsidR="00AE0781">
        <w:rPr>
          <w:sz w:val="22"/>
        </w:rPr>
        <w:t xml:space="preserve"> </w:t>
      </w:r>
      <w:r w:rsidRPr="00E41691">
        <w:rPr>
          <w:sz w:val="22"/>
        </w:rPr>
        <w:t>Temporary bypass of the vessel or</w:t>
      </w:r>
      <w:r>
        <w:rPr>
          <w:sz w:val="22"/>
        </w:rPr>
        <w:t xml:space="preserve"> </w:t>
      </w:r>
      <w:r w:rsidRPr="00E41691">
        <w:rPr>
          <w:sz w:val="22"/>
        </w:rPr>
        <w:t>interruption of gas flow is necessary for the short time it takes to replace the reacted media.</w:t>
      </w:r>
      <w:r>
        <w:rPr>
          <w:sz w:val="22"/>
        </w:rPr>
        <w:t xml:space="preserve">  </w:t>
      </w:r>
      <w:r w:rsidRPr="00E41691">
        <w:rPr>
          <w:sz w:val="22"/>
        </w:rPr>
        <w:t>Once reacted, the media is not reusable and it will be disposed of in accordance with applicable</w:t>
      </w:r>
      <w:r>
        <w:rPr>
          <w:sz w:val="22"/>
        </w:rPr>
        <w:t xml:space="preserve"> </w:t>
      </w:r>
      <w:r w:rsidRPr="00E41691">
        <w:rPr>
          <w:sz w:val="22"/>
        </w:rPr>
        <w:t xml:space="preserve">regulations at </w:t>
      </w:r>
      <w:r w:rsidR="00CC30EA">
        <w:rPr>
          <w:sz w:val="22"/>
        </w:rPr>
        <w:t xml:space="preserve">the </w:t>
      </w:r>
      <w:r w:rsidRPr="00E41691">
        <w:rPr>
          <w:sz w:val="22"/>
        </w:rPr>
        <w:t xml:space="preserve">Monarch Hill </w:t>
      </w:r>
      <w:r w:rsidR="00CC30EA">
        <w:rPr>
          <w:sz w:val="22"/>
        </w:rPr>
        <w:t xml:space="preserve">landfill, </w:t>
      </w:r>
      <w:r w:rsidRPr="00E41691">
        <w:rPr>
          <w:sz w:val="22"/>
        </w:rPr>
        <w:t>or another solid waste facility permitted to accept the material.</w:t>
      </w:r>
      <w:r>
        <w:rPr>
          <w:sz w:val="22"/>
        </w:rPr>
        <w:t xml:space="preserve">  </w:t>
      </w:r>
      <w:r w:rsidRPr="00E41691">
        <w:rPr>
          <w:sz w:val="22"/>
        </w:rPr>
        <w:t>Information provided by the manufacturer indicates the spent media is non-hazardous, inert,</w:t>
      </w:r>
      <w:r>
        <w:rPr>
          <w:sz w:val="22"/>
        </w:rPr>
        <w:t xml:space="preserve"> </w:t>
      </w:r>
      <w:r w:rsidRPr="00E41691">
        <w:rPr>
          <w:sz w:val="22"/>
        </w:rPr>
        <w:t>and that the adsorbed sulfur will not significantly remobilize if disposed of in a solid waste</w:t>
      </w:r>
      <w:r>
        <w:rPr>
          <w:sz w:val="22"/>
        </w:rPr>
        <w:t xml:space="preserve"> </w:t>
      </w:r>
      <w:r w:rsidRPr="00E41691">
        <w:rPr>
          <w:sz w:val="22"/>
        </w:rPr>
        <w:t>landfill.</w:t>
      </w:r>
    </w:p>
    <w:p w:rsidR="00E41691" w:rsidRDefault="00E41691" w:rsidP="00E41691">
      <w:pPr>
        <w:widowControl w:val="0"/>
        <w:autoSpaceDE w:val="0"/>
        <w:autoSpaceDN w:val="0"/>
        <w:adjustRightInd w:val="0"/>
        <w:spacing w:after="60"/>
        <w:rPr>
          <w:sz w:val="22"/>
        </w:rPr>
      </w:pPr>
      <w:r>
        <w:rPr>
          <w:noProof/>
        </w:rPr>
        <w:drawing>
          <wp:inline distT="0" distB="0" distL="0" distR="0" wp14:anchorId="2472346A" wp14:editId="3720028A">
            <wp:extent cx="6400800" cy="44386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0800" cy="4438650"/>
                    </a:xfrm>
                    <a:prstGeom prst="rect">
                      <a:avLst/>
                    </a:prstGeom>
                    <a:ln w="19050">
                      <a:solidFill>
                        <a:schemeClr val="tx1"/>
                      </a:solidFill>
                    </a:ln>
                  </pic:spPr>
                </pic:pic>
              </a:graphicData>
            </a:graphic>
          </wp:inline>
        </w:drawing>
      </w:r>
    </w:p>
    <w:p w:rsidR="00E41691" w:rsidRDefault="00E41691" w:rsidP="000D2FBE">
      <w:pPr>
        <w:pStyle w:val="Caption"/>
        <w:spacing w:before="120" w:after="120"/>
        <w:jc w:val="center"/>
        <w:rPr>
          <w:b/>
          <w:i w:val="0"/>
          <w:color w:val="000000" w:themeColor="text1"/>
          <w:sz w:val="22"/>
          <w:szCs w:val="22"/>
        </w:rPr>
      </w:pPr>
      <w:bookmarkStart w:id="15" w:name="_Ref520444990"/>
      <w:bookmarkStart w:id="16" w:name="_Ref520444983"/>
      <w:r w:rsidRPr="00E41691">
        <w:rPr>
          <w:b/>
          <w:i w:val="0"/>
          <w:color w:val="000000" w:themeColor="text1"/>
          <w:sz w:val="22"/>
          <w:szCs w:val="22"/>
        </w:rPr>
        <w:t xml:space="preserve">Figure </w:t>
      </w:r>
      <w:r w:rsidRPr="00E41691">
        <w:rPr>
          <w:b/>
          <w:i w:val="0"/>
          <w:color w:val="000000" w:themeColor="text1"/>
          <w:sz w:val="22"/>
          <w:szCs w:val="22"/>
        </w:rPr>
        <w:fldChar w:fldCharType="begin"/>
      </w:r>
      <w:r w:rsidRPr="00E41691">
        <w:rPr>
          <w:b/>
          <w:i w:val="0"/>
          <w:color w:val="000000" w:themeColor="text1"/>
          <w:sz w:val="22"/>
          <w:szCs w:val="22"/>
        </w:rPr>
        <w:instrText xml:space="preserve"> SEQ Figure \* ARABIC </w:instrText>
      </w:r>
      <w:r w:rsidRPr="00E41691">
        <w:rPr>
          <w:b/>
          <w:i w:val="0"/>
          <w:color w:val="000000" w:themeColor="text1"/>
          <w:sz w:val="22"/>
          <w:szCs w:val="22"/>
        </w:rPr>
        <w:fldChar w:fldCharType="separate"/>
      </w:r>
      <w:r w:rsidRPr="00E41691">
        <w:rPr>
          <w:b/>
          <w:i w:val="0"/>
          <w:noProof/>
          <w:color w:val="000000" w:themeColor="text1"/>
          <w:sz w:val="22"/>
          <w:szCs w:val="22"/>
        </w:rPr>
        <w:t>4</w:t>
      </w:r>
      <w:r w:rsidRPr="00E41691">
        <w:rPr>
          <w:b/>
          <w:i w:val="0"/>
          <w:color w:val="000000" w:themeColor="text1"/>
          <w:sz w:val="22"/>
          <w:szCs w:val="22"/>
        </w:rPr>
        <w:fldChar w:fldCharType="end"/>
      </w:r>
      <w:bookmarkEnd w:id="15"/>
      <w:r w:rsidRPr="00E41691">
        <w:rPr>
          <w:b/>
          <w:i w:val="0"/>
          <w:color w:val="000000" w:themeColor="text1"/>
          <w:sz w:val="22"/>
          <w:szCs w:val="22"/>
        </w:rPr>
        <w:t>.  Basic Design of Sulfatreat Fixed-Bed Technology</w:t>
      </w:r>
      <w:bookmarkEnd w:id="16"/>
      <w:r w:rsidR="000D2FBE">
        <w:rPr>
          <w:b/>
          <w:i w:val="0"/>
          <w:color w:val="000000" w:themeColor="text1"/>
          <w:sz w:val="22"/>
          <w:szCs w:val="22"/>
        </w:rPr>
        <w:t>.</w:t>
      </w:r>
    </w:p>
    <w:p w:rsidR="00DA38B3" w:rsidRPr="00C4010A" w:rsidRDefault="00BB1477" w:rsidP="00337774">
      <w:pPr>
        <w:spacing w:after="120"/>
        <w:rPr>
          <w:sz w:val="22"/>
          <w:szCs w:val="22"/>
        </w:rPr>
      </w:pPr>
      <w:r w:rsidRPr="00BB1477">
        <w:rPr>
          <w:sz w:val="22"/>
          <w:szCs w:val="22"/>
        </w:rPr>
        <w:t>The specific number and size of tanks used to remove H</w:t>
      </w:r>
      <w:r w:rsidRPr="00BB1477">
        <w:rPr>
          <w:sz w:val="22"/>
          <w:szCs w:val="22"/>
          <w:vertAlign w:val="subscript"/>
        </w:rPr>
        <w:t>2</w:t>
      </w:r>
      <w:r w:rsidRPr="00BB1477">
        <w:rPr>
          <w:sz w:val="22"/>
          <w:szCs w:val="22"/>
        </w:rPr>
        <w:t>S at the facility may vary over time</w:t>
      </w:r>
      <w:r>
        <w:rPr>
          <w:sz w:val="22"/>
          <w:szCs w:val="22"/>
        </w:rPr>
        <w:t xml:space="preserve"> and</w:t>
      </w:r>
      <w:r w:rsidR="00337774" w:rsidRPr="00337774">
        <w:rPr>
          <w:sz w:val="22"/>
          <w:szCs w:val="22"/>
        </w:rPr>
        <w:t xml:space="preserve"> the interval between media changeouts</w:t>
      </w:r>
      <w:r w:rsidR="00337774">
        <w:rPr>
          <w:sz w:val="22"/>
          <w:szCs w:val="22"/>
        </w:rPr>
        <w:t xml:space="preserve"> </w:t>
      </w:r>
      <w:r w:rsidR="00F14963">
        <w:rPr>
          <w:sz w:val="22"/>
          <w:szCs w:val="22"/>
        </w:rPr>
        <w:t>may also</w:t>
      </w:r>
      <w:r w:rsidR="00337774" w:rsidRPr="00337774">
        <w:rPr>
          <w:sz w:val="22"/>
          <w:szCs w:val="22"/>
        </w:rPr>
        <w:t xml:space="preserve"> vary</w:t>
      </w:r>
      <w:r w:rsidR="00F14963">
        <w:rPr>
          <w:sz w:val="22"/>
          <w:szCs w:val="22"/>
        </w:rPr>
        <w:t>,</w:t>
      </w:r>
      <w:r w:rsidR="00337774" w:rsidRPr="00337774">
        <w:rPr>
          <w:sz w:val="22"/>
          <w:szCs w:val="22"/>
        </w:rPr>
        <w:t xml:space="preserve"> depending on several factors including the amount and type of media used, inlet</w:t>
      </w:r>
      <w:r w:rsidR="00337774">
        <w:rPr>
          <w:sz w:val="22"/>
          <w:szCs w:val="22"/>
        </w:rPr>
        <w:t xml:space="preserve"> </w:t>
      </w:r>
      <w:r w:rsidR="00337774" w:rsidRPr="00337774">
        <w:rPr>
          <w:sz w:val="22"/>
          <w:szCs w:val="22"/>
        </w:rPr>
        <w:t>concentrations, gas flow rates, tank configurations, and current emission status.</w:t>
      </w:r>
      <w:r>
        <w:rPr>
          <w:sz w:val="22"/>
          <w:szCs w:val="22"/>
        </w:rPr>
        <w:t xml:space="preserve">  </w:t>
      </w:r>
      <w:r w:rsidRPr="00BB1477">
        <w:rPr>
          <w:sz w:val="22"/>
          <w:szCs w:val="22"/>
        </w:rPr>
        <w:t xml:space="preserve">Tanks may be situated in series or parallel and may be interchangeable. </w:t>
      </w:r>
      <w:r>
        <w:rPr>
          <w:sz w:val="22"/>
          <w:szCs w:val="22"/>
        </w:rPr>
        <w:t xml:space="preserve"> </w:t>
      </w:r>
      <w:r w:rsidRPr="00BB1477">
        <w:rPr>
          <w:sz w:val="22"/>
          <w:szCs w:val="22"/>
        </w:rPr>
        <w:t xml:space="preserve">A system of valving will be installed to allow bypass or inclusion of specific tanks.  </w:t>
      </w:r>
    </w:p>
    <w:p w:rsidR="009C562C" w:rsidRPr="00D34E71" w:rsidRDefault="00C4010A" w:rsidP="00D34E71">
      <w:pPr>
        <w:pStyle w:val="ListParagraph"/>
        <w:numPr>
          <w:ilvl w:val="1"/>
          <w:numId w:val="6"/>
        </w:numPr>
        <w:spacing w:after="120"/>
        <w:ind w:left="720" w:hanging="720"/>
        <w:contextualSpacing w:val="0"/>
        <w:rPr>
          <w:b/>
          <w:caps/>
          <w:sz w:val="22"/>
          <w:szCs w:val="22"/>
        </w:rPr>
      </w:pPr>
      <w:r>
        <w:rPr>
          <w:b/>
          <w:sz w:val="22"/>
        </w:rPr>
        <w:t>Brief Discussion of Emissions</w:t>
      </w:r>
    </w:p>
    <w:p w:rsidR="00BD0629" w:rsidRDefault="00EA273A" w:rsidP="00EF7A62">
      <w:pPr>
        <w:widowControl w:val="0"/>
        <w:autoSpaceDE w:val="0"/>
        <w:autoSpaceDN w:val="0"/>
        <w:adjustRightInd w:val="0"/>
        <w:spacing w:after="120"/>
        <w:rPr>
          <w:sz w:val="22"/>
        </w:rPr>
      </w:pPr>
      <w:r>
        <w:rPr>
          <w:sz w:val="22"/>
        </w:rPr>
        <w:t>According to the application, H</w:t>
      </w:r>
      <w:r w:rsidRPr="00FB4DC0">
        <w:rPr>
          <w:sz w:val="22"/>
          <w:vertAlign w:val="subscript"/>
        </w:rPr>
        <w:t>2</w:t>
      </w:r>
      <w:r>
        <w:rPr>
          <w:sz w:val="22"/>
        </w:rPr>
        <w:t xml:space="preserve">S in the landfill gas at the turbine plant averaged </w:t>
      </w:r>
      <w:r w:rsidR="000F38B0">
        <w:rPr>
          <w:sz w:val="22"/>
        </w:rPr>
        <w:t>approximately 2,500 ppm</w:t>
      </w:r>
      <w:r w:rsidR="00FB4DC0">
        <w:rPr>
          <w:sz w:val="22"/>
        </w:rPr>
        <w:t xml:space="preserve"> in 2017 and the first half of 2018.  </w:t>
      </w:r>
      <w:r w:rsidR="002035AF">
        <w:rPr>
          <w:sz w:val="22"/>
        </w:rPr>
        <w:t xml:space="preserve">The limited </w:t>
      </w:r>
      <w:r w:rsidR="009026DC">
        <w:rPr>
          <w:sz w:val="22"/>
        </w:rPr>
        <w:t xml:space="preserve">12-month rolling total </w:t>
      </w:r>
      <w:r w:rsidR="002035AF">
        <w:rPr>
          <w:sz w:val="22"/>
        </w:rPr>
        <w:t xml:space="preserve">flow of </w:t>
      </w:r>
      <w:r w:rsidR="002035AF" w:rsidRPr="002035AF">
        <w:rPr>
          <w:sz w:val="22"/>
        </w:rPr>
        <w:t xml:space="preserve">1,156.32 </w:t>
      </w:r>
      <w:r w:rsidR="009026DC">
        <w:rPr>
          <w:sz w:val="22"/>
        </w:rPr>
        <w:t>MM</w:t>
      </w:r>
      <w:r w:rsidR="002035AF" w:rsidRPr="002035AF">
        <w:rPr>
          <w:sz w:val="22"/>
        </w:rPr>
        <w:t>scf</w:t>
      </w:r>
      <w:r w:rsidR="009026DC">
        <w:rPr>
          <w:sz w:val="22"/>
        </w:rPr>
        <w:t>, equates to an average landfill gas flow of 2,200 scfm.  If the landfill gas is not treated prior to combustion in the new flare, potential SO</w:t>
      </w:r>
      <w:r w:rsidR="009026DC" w:rsidRPr="009026DC">
        <w:rPr>
          <w:sz w:val="22"/>
          <w:vertAlign w:val="subscript"/>
        </w:rPr>
        <w:t>2</w:t>
      </w:r>
      <w:r w:rsidR="009026DC">
        <w:rPr>
          <w:sz w:val="22"/>
        </w:rPr>
        <w:t xml:space="preserve"> emissions will be </w:t>
      </w:r>
      <w:proofErr w:type="gramStart"/>
      <w:r w:rsidR="009026DC">
        <w:rPr>
          <w:sz w:val="22"/>
        </w:rPr>
        <w:t>approximately 4.5</w:t>
      </w:r>
      <w:proofErr w:type="gramEnd"/>
      <w:r w:rsidR="009026DC">
        <w:rPr>
          <w:sz w:val="22"/>
        </w:rPr>
        <w:t xml:space="preserve"> tons/week</w:t>
      </w:r>
      <w:r w:rsidR="00727DD4">
        <w:rPr>
          <w:sz w:val="22"/>
        </w:rPr>
        <w:t xml:space="preserve"> (234 tons per year (TPY))</w:t>
      </w:r>
      <w:r w:rsidR="009026DC">
        <w:rPr>
          <w:sz w:val="22"/>
        </w:rPr>
        <w:t xml:space="preserve">.  However, the landfill gas will be treated in some manner, including the Sulfatreat </w:t>
      </w:r>
      <w:r w:rsidR="00727DD4">
        <w:rPr>
          <w:sz w:val="22"/>
        </w:rPr>
        <w:t>and/</w:t>
      </w:r>
      <w:r w:rsidR="009026DC">
        <w:rPr>
          <w:sz w:val="22"/>
        </w:rPr>
        <w:t xml:space="preserve">or the flow to the flare </w:t>
      </w:r>
      <w:r w:rsidR="00727DD4">
        <w:rPr>
          <w:sz w:val="22"/>
        </w:rPr>
        <w:t xml:space="preserve">will be </w:t>
      </w:r>
      <w:r w:rsidR="009026DC">
        <w:rPr>
          <w:sz w:val="22"/>
        </w:rPr>
        <w:t xml:space="preserve">limited, </w:t>
      </w:r>
      <w:proofErr w:type="gramStart"/>
      <w:r w:rsidR="009026DC">
        <w:rPr>
          <w:sz w:val="22"/>
        </w:rPr>
        <w:t>in order to</w:t>
      </w:r>
      <w:proofErr w:type="gramEnd"/>
      <w:r w:rsidR="009026DC">
        <w:rPr>
          <w:sz w:val="22"/>
        </w:rPr>
        <w:t xml:space="preserve"> meet the PSD-avoidance SO</w:t>
      </w:r>
      <w:r w:rsidR="009026DC" w:rsidRPr="009026DC">
        <w:rPr>
          <w:sz w:val="22"/>
          <w:vertAlign w:val="subscript"/>
        </w:rPr>
        <w:t>2</w:t>
      </w:r>
      <w:r w:rsidR="009026DC">
        <w:rPr>
          <w:sz w:val="22"/>
        </w:rPr>
        <w:t xml:space="preserve"> cap of 36 </w:t>
      </w:r>
      <w:r w:rsidR="00727DD4">
        <w:rPr>
          <w:sz w:val="22"/>
        </w:rPr>
        <w:t>TPY</w:t>
      </w:r>
      <w:r w:rsidR="009026DC">
        <w:rPr>
          <w:sz w:val="22"/>
        </w:rPr>
        <w:t>.</w:t>
      </w:r>
      <w:r w:rsidR="008D20B0">
        <w:rPr>
          <w:sz w:val="22"/>
        </w:rPr>
        <w:t xml:space="preserve">  The </w:t>
      </w:r>
      <w:r w:rsidR="0018126A">
        <w:rPr>
          <w:sz w:val="22"/>
        </w:rPr>
        <w:t>draft permit will require</w:t>
      </w:r>
      <w:r w:rsidR="008D20B0">
        <w:rPr>
          <w:sz w:val="22"/>
        </w:rPr>
        <w:t xml:space="preserve"> weekly monitoring of the landfill gas (whenever the new flare is operating) using EPA Method 15 or 16 to ensure SO</w:t>
      </w:r>
      <w:r w:rsidR="008D20B0" w:rsidRPr="008D20B0">
        <w:rPr>
          <w:sz w:val="22"/>
          <w:vertAlign w:val="subscript"/>
        </w:rPr>
        <w:t>2</w:t>
      </w:r>
      <w:r w:rsidR="008D20B0">
        <w:rPr>
          <w:sz w:val="22"/>
        </w:rPr>
        <w:t xml:space="preserve"> emissions are below 36 </w:t>
      </w:r>
      <w:r w:rsidR="00727DD4">
        <w:rPr>
          <w:sz w:val="22"/>
        </w:rPr>
        <w:t>TPY</w:t>
      </w:r>
      <w:r w:rsidR="008D20B0">
        <w:rPr>
          <w:sz w:val="22"/>
        </w:rPr>
        <w:t>.</w:t>
      </w:r>
    </w:p>
    <w:p w:rsidR="00EF7A62" w:rsidRPr="00EF7A62" w:rsidRDefault="007409F3" w:rsidP="00EF7A62">
      <w:pPr>
        <w:widowControl w:val="0"/>
        <w:autoSpaceDE w:val="0"/>
        <w:autoSpaceDN w:val="0"/>
        <w:adjustRightInd w:val="0"/>
        <w:spacing w:after="120"/>
        <w:rPr>
          <w:sz w:val="22"/>
        </w:rPr>
      </w:pPr>
      <w:r>
        <w:rPr>
          <w:sz w:val="22"/>
        </w:rPr>
        <w:t xml:space="preserve">The potential </w:t>
      </w:r>
      <w:r w:rsidR="001B12D1">
        <w:rPr>
          <w:sz w:val="22"/>
        </w:rPr>
        <w:t xml:space="preserve">emissions from the new flare </w:t>
      </w:r>
      <w:r>
        <w:rPr>
          <w:sz w:val="22"/>
        </w:rPr>
        <w:t xml:space="preserve">are tabulated in </w:t>
      </w:r>
      <w:r w:rsidRPr="00366F59">
        <w:rPr>
          <w:sz w:val="22"/>
        </w:rPr>
        <w:fldChar w:fldCharType="begin"/>
      </w:r>
      <w:r w:rsidRPr="00366F59">
        <w:rPr>
          <w:sz w:val="22"/>
        </w:rPr>
        <w:instrText xml:space="preserve"> REF _Ref514926727 \h  \* MERGEFORMAT </w:instrText>
      </w:r>
      <w:r w:rsidRPr="00366F59">
        <w:rPr>
          <w:sz w:val="22"/>
        </w:rPr>
      </w:r>
      <w:r w:rsidRPr="00366F59">
        <w:rPr>
          <w:sz w:val="22"/>
        </w:rPr>
        <w:fldChar w:fldCharType="separate"/>
      </w:r>
      <w:r w:rsidRPr="00366F59">
        <w:rPr>
          <w:b/>
          <w:sz w:val="22"/>
        </w:rPr>
        <w:t>Table 4</w:t>
      </w:r>
      <w:r w:rsidRPr="00366F59">
        <w:rPr>
          <w:sz w:val="22"/>
        </w:rPr>
        <w:fldChar w:fldCharType="end"/>
      </w:r>
      <w:r>
        <w:rPr>
          <w:sz w:val="22"/>
        </w:rPr>
        <w:t xml:space="preserve">.  As </w:t>
      </w:r>
      <w:r w:rsidR="00727DD4">
        <w:rPr>
          <w:sz w:val="22"/>
        </w:rPr>
        <w:t xml:space="preserve">see in </w:t>
      </w:r>
      <w:r w:rsidR="00727DD4" w:rsidRPr="00366F59">
        <w:rPr>
          <w:sz w:val="22"/>
        </w:rPr>
        <w:fldChar w:fldCharType="begin"/>
      </w:r>
      <w:r w:rsidR="00727DD4" w:rsidRPr="00366F59">
        <w:rPr>
          <w:sz w:val="22"/>
        </w:rPr>
        <w:instrText xml:space="preserve"> REF _Ref514926727 \h  \* MERGEFORMAT </w:instrText>
      </w:r>
      <w:r w:rsidR="00727DD4" w:rsidRPr="00366F59">
        <w:rPr>
          <w:sz w:val="22"/>
        </w:rPr>
      </w:r>
      <w:r w:rsidR="00727DD4" w:rsidRPr="00366F59">
        <w:rPr>
          <w:sz w:val="22"/>
        </w:rPr>
        <w:fldChar w:fldCharType="separate"/>
      </w:r>
      <w:r w:rsidR="00727DD4" w:rsidRPr="00366F59">
        <w:rPr>
          <w:b/>
          <w:sz w:val="22"/>
        </w:rPr>
        <w:t>Table 4</w:t>
      </w:r>
      <w:r w:rsidR="00727DD4" w:rsidRPr="00366F59">
        <w:rPr>
          <w:sz w:val="22"/>
        </w:rPr>
        <w:fldChar w:fldCharType="end"/>
      </w:r>
      <w:r>
        <w:rPr>
          <w:sz w:val="22"/>
        </w:rPr>
        <w:t xml:space="preserve">, total project emissions are expected to be below their respective SERs.  </w:t>
      </w:r>
    </w:p>
    <w:p w:rsidR="00686486" w:rsidRPr="00727DD4" w:rsidRDefault="00B7612C" w:rsidP="00727DD4">
      <w:pPr>
        <w:pStyle w:val="ListParagraph"/>
        <w:numPr>
          <w:ilvl w:val="1"/>
          <w:numId w:val="6"/>
        </w:numPr>
        <w:spacing w:after="120"/>
        <w:ind w:left="720" w:hanging="720"/>
        <w:contextualSpacing w:val="0"/>
        <w:rPr>
          <w:b/>
          <w:caps/>
          <w:sz w:val="22"/>
          <w:szCs w:val="22"/>
        </w:rPr>
      </w:pPr>
      <w:r>
        <w:rPr>
          <w:b/>
          <w:sz w:val="22"/>
        </w:rPr>
        <w:t>Federal NSPS Provisions</w:t>
      </w:r>
    </w:p>
    <w:p w:rsidR="00B7612C" w:rsidRPr="000B4B28" w:rsidRDefault="00A637E9" w:rsidP="00B960D9">
      <w:pPr>
        <w:widowControl w:val="0"/>
        <w:autoSpaceDE w:val="0"/>
        <w:autoSpaceDN w:val="0"/>
        <w:adjustRightInd w:val="0"/>
        <w:spacing w:after="120"/>
        <w:rPr>
          <w:sz w:val="22"/>
          <w:szCs w:val="22"/>
        </w:rPr>
      </w:pPr>
      <w:r>
        <w:rPr>
          <w:sz w:val="22"/>
          <w:szCs w:val="22"/>
        </w:rPr>
        <w:t xml:space="preserve">The </w:t>
      </w:r>
      <w:r w:rsidR="005847AB">
        <w:rPr>
          <w:sz w:val="22"/>
          <w:szCs w:val="22"/>
        </w:rPr>
        <w:t>3,000 scfm limited flow open</w:t>
      </w:r>
      <w:r w:rsidRPr="00813AF2">
        <w:rPr>
          <w:sz w:val="22"/>
          <w:szCs w:val="22"/>
        </w:rPr>
        <w:t xml:space="preserve"> flare</w:t>
      </w:r>
      <w:r>
        <w:rPr>
          <w:sz w:val="22"/>
          <w:szCs w:val="22"/>
        </w:rPr>
        <w:t xml:space="preserve"> will be subject to </w:t>
      </w:r>
      <w:r w:rsidRPr="004B4023">
        <w:rPr>
          <w:sz w:val="22"/>
          <w:szCs w:val="22"/>
        </w:rPr>
        <w:t xml:space="preserve">NSPS Subpart A – General provisions and Subpart </w:t>
      </w:r>
      <w:r>
        <w:rPr>
          <w:sz w:val="22"/>
          <w:szCs w:val="22"/>
        </w:rPr>
        <w:t>WWW</w:t>
      </w:r>
      <w:r w:rsidRPr="004B4023">
        <w:rPr>
          <w:sz w:val="22"/>
          <w:szCs w:val="22"/>
        </w:rPr>
        <w:t xml:space="preserve"> – Standards of Performance for </w:t>
      </w:r>
      <w:r>
        <w:rPr>
          <w:sz w:val="22"/>
          <w:szCs w:val="22"/>
        </w:rPr>
        <w:t>Municipal Solid Waste Landfills,</w:t>
      </w:r>
      <w:r w:rsidRPr="004B4023">
        <w:rPr>
          <w:sz w:val="22"/>
          <w:szCs w:val="22"/>
        </w:rPr>
        <w:t xml:space="preserve"> of 40 CFR 60.  The draft permit will not change any currently applicable requirements </w:t>
      </w:r>
      <w:r w:rsidR="00727DD4" w:rsidRPr="004B4023">
        <w:rPr>
          <w:sz w:val="22"/>
          <w:szCs w:val="22"/>
        </w:rPr>
        <w:t>regarding</w:t>
      </w:r>
      <w:r w:rsidRPr="004B4023">
        <w:rPr>
          <w:sz w:val="22"/>
          <w:szCs w:val="22"/>
        </w:rPr>
        <w:t xml:space="preserve"> these regulations.</w:t>
      </w:r>
    </w:p>
    <w:p w:rsidR="00193F10" w:rsidRPr="00727DD4" w:rsidRDefault="00193F10" w:rsidP="00727DD4">
      <w:pPr>
        <w:pStyle w:val="ListParagraph"/>
        <w:numPr>
          <w:ilvl w:val="0"/>
          <w:numId w:val="6"/>
        </w:numPr>
        <w:spacing w:after="120"/>
        <w:ind w:left="720" w:hanging="720"/>
        <w:contextualSpacing w:val="0"/>
        <w:rPr>
          <w:b/>
          <w:caps/>
          <w:sz w:val="22"/>
          <w:szCs w:val="22"/>
        </w:rPr>
      </w:pPr>
      <w:r w:rsidRPr="000B4B28">
        <w:rPr>
          <w:b/>
          <w:caps/>
          <w:sz w:val="22"/>
        </w:rPr>
        <w:t>Preliminary Determination</w:t>
      </w:r>
      <w:bookmarkStart w:id="17" w:name="_GoBack"/>
    </w:p>
    <w:bookmarkEnd w:id="17"/>
    <w:p w:rsidR="00193F10" w:rsidRDefault="00193F10" w:rsidP="00B960D9">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E75208">
        <w:rPr>
          <w:sz w:val="22"/>
        </w:rPr>
        <w:t xml:space="preserve">Pawan Subramaniam is the project engineer responsible for reviewing the application and drafting the permit.  Additional details of this analysis may be obtained by contacting the project engineer at the Department’s Office of Permitting and Compliance at Mail Station #5505, 2600 Blair Stone Road, Tallahassee, </w:t>
      </w:r>
      <w:proofErr w:type="gramStart"/>
      <w:r w:rsidR="00E75208">
        <w:rPr>
          <w:sz w:val="22"/>
        </w:rPr>
        <w:t>Florida  32399</w:t>
      </w:r>
      <w:proofErr w:type="gramEnd"/>
      <w:r w:rsidR="00E75208">
        <w:rPr>
          <w:sz w:val="22"/>
        </w:rPr>
        <w:t xml:space="preserve">-2400 at 850/717-9033 or by email </w:t>
      </w:r>
      <w:hyperlink r:id="rId14" w:history="1">
        <w:r w:rsidR="00E75208" w:rsidRPr="00971003">
          <w:rPr>
            <w:rStyle w:val="Hyperlink"/>
            <w:sz w:val="22"/>
          </w:rPr>
          <w:t>Pawan.Subramaniam@dep.state.fl.us</w:t>
        </w:r>
      </w:hyperlink>
      <w:r w:rsidR="00E75208">
        <w:rPr>
          <w:sz w:val="22"/>
        </w:rPr>
        <w:t>.</w:t>
      </w:r>
    </w:p>
    <w:sectPr w:rsidR="00193F10" w:rsidSect="00955781">
      <w:headerReference w:type="default" r:id="rId15"/>
      <w:footerReference w:type="default" r:id="rId16"/>
      <w:headerReference w:type="first" r:id="rId17"/>
      <w:footerReference w:type="first" r:id="rId1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4DA" w:rsidRPr="00C02BEB" w:rsidRDefault="006F34DA" w:rsidP="006F34DA">
    <w:pPr>
      <w:pBdr>
        <w:top w:val="single" w:sz="6" w:space="1" w:color="auto"/>
      </w:pBdr>
      <w:tabs>
        <w:tab w:val="right" w:pos="10080"/>
      </w:tabs>
      <w:spacing w:before="240"/>
      <w:rPr>
        <w:rStyle w:val="PageNumber"/>
        <w:highlight w:val="yellow"/>
      </w:rPr>
    </w:pPr>
    <w:bookmarkStart w:id="18" w:name="_Hlk520707512"/>
    <w:r>
      <w:rPr>
        <w:rStyle w:val="PageNumber"/>
      </w:rPr>
      <w:t>Waste Management Inc. of Florida</w:t>
    </w:r>
    <w:r w:rsidRPr="00C02BEB">
      <w:rPr>
        <w:rStyle w:val="PageNumber"/>
      </w:rPr>
      <w:tab/>
    </w:r>
    <w:r>
      <w:rPr>
        <w:rStyle w:val="PageNumber"/>
      </w:rPr>
      <w:t>Air Permit No. 0112094-014</w:t>
    </w:r>
    <w:r w:rsidRPr="00F02E3A">
      <w:rPr>
        <w:rStyle w:val="PageNumber"/>
      </w:rPr>
      <w:t>-AC</w:t>
    </w:r>
  </w:p>
  <w:p w:rsidR="006F34DA" w:rsidRPr="00C02BEB" w:rsidRDefault="006F34DA" w:rsidP="006F34DA">
    <w:pPr>
      <w:pBdr>
        <w:top w:val="single" w:sz="6" w:space="1" w:color="auto"/>
      </w:pBdr>
      <w:tabs>
        <w:tab w:val="right" w:pos="10080"/>
      </w:tabs>
      <w:rPr>
        <w:rStyle w:val="PageNumber"/>
      </w:rPr>
    </w:pPr>
    <w:r>
      <w:rPr>
        <w:rStyle w:val="PageNumber"/>
      </w:rPr>
      <w:t>Monarch Hill Landfill</w:t>
    </w:r>
    <w:r w:rsidRPr="00C02BEB">
      <w:rPr>
        <w:rStyle w:val="PageNumber"/>
      </w:rPr>
      <w:tab/>
    </w:r>
    <w:r>
      <w:rPr>
        <w:rStyle w:val="PageNumber"/>
      </w:rPr>
      <w:t>New Flare and Sulfur Treatment System</w:t>
    </w:r>
  </w:p>
  <w:bookmarkEnd w:id="18"/>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727DD4">
      <w:rPr>
        <w:rStyle w:val="PageNumber"/>
        <w:noProof/>
      </w:rPr>
      <w:t>8</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727DD4">
      <w:rPr>
        <w:rStyle w:val="PageNumber"/>
        <w:noProof/>
      </w:rPr>
      <w:t>8</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 w:id="1">
    <w:p w:rsidR="00A0570B" w:rsidRDefault="00A0570B" w:rsidP="00A0570B">
      <w:pPr>
        <w:pStyle w:val="FootnoteText"/>
      </w:pPr>
      <w:r>
        <w:rPr>
          <w:rStyle w:val="FootnoteReference"/>
        </w:rPr>
        <w:footnoteRef/>
      </w:r>
      <w:r>
        <w:t xml:space="preserve"> Source:  </w:t>
      </w:r>
      <w:hyperlink r:id="rId1" w:history="1">
        <w:r w:rsidRPr="00820A1C">
          <w:rPr>
            <w:rStyle w:val="Hyperlink"/>
          </w:rPr>
          <w:t>https://www.slb.com/services/production/production-technologies-chemicals-treatments/cure-technologies/hydrogen-sufide-mercury-adsorbents/hydrogen-sulfide-removal-from-gas.aspx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C10CE"/>
    <w:multiLevelType w:val="hybridMultilevel"/>
    <w:tmpl w:val="D4A2C43C"/>
    <w:lvl w:ilvl="0" w:tplc="445604F8">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F80A73"/>
    <w:multiLevelType w:val="hybridMultilevel"/>
    <w:tmpl w:val="0E24E9B6"/>
    <w:lvl w:ilvl="0" w:tplc="31782DB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D03B1"/>
    <w:multiLevelType w:val="hybridMultilevel"/>
    <w:tmpl w:val="D8188E5A"/>
    <w:lvl w:ilvl="0" w:tplc="862A60D2">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7B56331"/>
    <w:multiLevelType w:val="hybridMultilevel"/>
    <w:tmpl w:val="86A636F4"/>
    <w:lvl w:ilvl="0" w:tplc="912A6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F527E60"/>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534618"/>
    <w:multiLevelType w:val="hybridMultilevel"/>
    <w:tmpl w:val="AD68D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28B004F"/>
    <w:multiLevelType w:val="hybridMultilevel"/>
    <w:tmpl w:val="1EA87796"/>
    <w:lvl w:ilvl="0" w:tplc="D59A1190">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CB400F"/>
    <w:multiLevelType w:val="hybridMultilevel"/>
    <w:tmpl w:val="B9F0C37C"/>
    <w:lvl w:ilvl="0" w:tplc="EA1CB7DA">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2"/>
  </w:num>
  <w:num w:numId="3">
    <w:abstractNumId w:val="0"/>
  </w:num>
  <w:num w:numId="4">
    <w:abstractNumId w:val="3"/>
  </w:num>
  <w:num w:numId="5">
    <w:abstractNumId w:val="8"/>
  </w:num>
  <w:num w:numId="6">
    <w:abstractNumId w:val="7"/>
  </w:num>
  <w:num w:numId="7">
    <w:abstractNumId w:val="5"/>
  </w:num>
  <w:num w:numId="8">
    <w:abstractNumId w:val="1"/>
  </w:num>
  <w:num w:numId="9">
    <w:abstractNumId w:val="2"/>
  </w:num>
  <w:num w:numId="10">
    <w:abstractNumId w:val="11"/>
  </w:num>
  <w:num w:numId="11">
    <w:abstractNumId w:val="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51C12"/>
    <w:rsid w:val="00057F09"/>
    <w:rsid w:val="000B3948"/>
    <w:rsid w:val="000B4B28"/>
    <w:rsid w:val="000C5143"/>
    <w:rsid w:val="000D0A88"/>
    <w:rsid w:val="000D2FBE"/>
    <w:rsid w:val="000E3976"/>
    <w:rsid w:val="000E42D3"/>
    <w:rsid w:val="000E6D60"/>
    <w:rsid w:val="000F38B0"/>
    <w:rsid w:val="00111453"/>
    <w:rsid w:val="00140CD4"/>
    <w:rsid w:val="00160808"/>
    <w:rsid w:val="001771DC"/>
    <w:rsid w:val="0018126A"/>
    <w:rsid w:val="0019139F"/>
    <w:rsid w:val="001923DF"/>
    <w:rsid w:val="00193F10"/>
    <w:rsid w:val="00194AA6"/>
    <w:rsid w:val="001B12D1"/>
    <w:rsid w:val="001B3356"/>
    <w:rsid w:val="001C4E37"/>
    <w:rsid w:val="001D1649"/>
    <w:rsid w:val="001D487F"/>
    <w:rsid w:val="001D66D6"/>
    <w:rsid w:val="001E2CD6"/>
    <w:rsid w:val="00201860"/>
    <w:rsid w:val="002035AF"/>
    <w:rsid w:val="002225DD"/>
    <w:rsid w:val="00294B8A"/>
    <w:rsid w:val="002968C8"/>
    <w:rsid w:val="002A28C2"/>
    <w:rsid w:val="002C19F8"/>
    <w:rsid w:val="002C4031"/>
    <w:rsid w:val="002C4180"/>
    <w:rsid w:val="002F0E6E"/>
    <w:rsid w:val="00302267"/>
    <w:rsid w:val="00312095"/>
    <w:rsid w:val="0033363A"/>
    <w:rsid w:val="00337774"/>
    <w:rsid w:val="00337879"/>
    <w:rsid w:val="00346552"/>
    <w:rsid w:val="00360830"/>
    <w:rsid w:val="00362B27"/>
    <w:rsid w:val="00366F59"/>
    <w:rsid w:val="00384378"/>
    <w:rsid w:val="003858DE"/>
    <w:rsid w:val="0039482F"/>
    <w:rsid w:val="00396B24"/>
    <w:rsid w:val="00397D53"/>
    <w:rsid w:val="003A3C29"/>
    <w:rsid w:val="003A60A2"/>
    <w:rsid w:val="003B1E0A"/>
    <w:rsid w:val="003C5D7A"/>
    <w:rsid w:val="003E683A"/>
    <w:rsid w:val="003F14AE"/>
    <w:rsid w:val="003F1AFB"/>
    <w:rsid w:val="003F3477"/>
    <w:rsid w:val="0040283C"/>
    <w:rsid w:val="00405422"/>
    <w:rsid w:val="0042480F"/>
    <w:rsid w:val="0043123B"/>
    <w:rsid w:val="004414F2"/>
    <w:rsid w:val="00446FE7"/>
    <w:rsid w:val="00461B52"/>
    <w:rsid w:val="004802E0"/>
    <w:rsid w:val="00495797"/>
    <w:rsid w:val="004A2F83"/>
    <w:rsid w:val="004A5488"/>
    <w:rsid w:val="004B5185"/>
    <w:rsid w:val="004C0984"/>
    <w:rsid w:val="004D1D9F"/>
    <w:rsid w:val="004E48C8"/>
    <w:rsid w:val="004F76D5"/>
    <w:rsid w:val="005032B2"/>
    <w:rsid w:val="005118BA"/>
    <w:rsid w:val="00523485"/>
    <w:rsid w:val="00527B35"/>
    <w:rsid w:val="00527C1D"/>
    <w:rsid w:val="0054332D"/>
    <w:rsid w:val="005847AB"/>
    <w:rsid w:val="005C0640"/>
    <w:rsid w:val="005E36E4"/>
    <w:rsid w:val="00617209"/>
    <w:rsid w:val="006240EC"/>
    <w:rsid w:val="0065214A"/>
    <w:rsid w:val="00653B2A"/>
    <w:rsid w:val="00655945"/>
    <w:rsid w:val="0066044B"/>
    <w:rsid w:val="00662CC5"/>
    <w:rsid w:val="006637B8"/>
    <w:rsid w:val="006675D4"/>
    <w:rsid w:val="0068361F"/>
    <w:rsid w:val="00684184"/>
    <w:rsid w:val="00686486"/>
    <w:rsid w:val="006B5A8E"/>
    <w:rsid w:val="006B6EFE"/>
    <w:rsid w:val="006F34DA"/>
    <w:rsid w:val="00701FEF"/>
    <w:rsid w:val="00703BA6"/>
    <w:rsid w:val="00711E9A"/>
    <w:rsid w:val="007238CA"/>
    <w:rsid w:val="00727DD4"/>
    <w:rsid w:val="007409F3"/>
    <w:rsid w:val="00741F1A"/>
    <w:rsid w:val="0074503E"/>
    <w:rsid w:val="00762E18"/>
    <w:rsid w:val="007747AA"/>
    <w:rsid w:val="00782ABD"/>
    <w:rsid w:val="00786837"/>
    <w:rsid w:val="007940A0"/>
    <w:rsid w:val="007E5CA3"/>
    <w:rsid w:val="007F7B7E"/>
    <w:rsid w:val="00820A1C"/>
    <w:rsid w:val="00835018"/>
    <w:rsid w:val="00850561"/>
    <w:rsid w:val="008560BD"/>
    <w:rsid w:val="008568CA"/>
    <w:rsid w:val="008603FF"/>
    <w:rsid w:val="008673D3"/>
    <w:rsid w:val="0087009A"/>
    <w:rsid w:val="008838A4"/>
    <w:rsid w:val="008A4564"/>
    <w:rsid w:val="008D20B0"/>
    <w:rsid w:val="009026DC"/>
    <w:rsid w:val="00915F63"/>
    <w:rsid w:val="009210EF"/>
    <w:rsid w:val="0093238E"/>
    <w:rsid w:val="00955781"/>
    <w:rsid w:val="009715B9"/>
    <w:rsid w:val="00985BBA"/>
    <w:rsid w:val="009B32D2"/>
    <w:rsid w:val="009C562C"/>
    <w:rsid w:val="009C59D8"/>
    <w:rsid w:val="009E0C14"/>
    <w:rsid w:val="009F6095"/>
    <w:rsid w:val="00A0570B"/>
    <w:rsid w:val="00A32DD9"/>
    <w:rsid w:val="00A4209B"/>
    <w:rsid w:val="00A55B74"/>
    <w:rsid w:val="00A637E9"/>
    <w:rsid w:val="00A70CF4"/>
    <w:rsid w:val="00A91740"/>
    <w:rsid w:val="00A938D5"/>
    <w:rsid w:val="00A948F3"/>
    <w:rsid w:val="00AA19F4"/>
    <w:rsid w:val="00AA7612"/>
    <w:rsid w:val="00AE0781"/>
    <w:rsid w:val="00AE6ADF"/>
    <w:rsid w:val="00B060C6"/>
    <w:rsid w:val="00B103DE"/>
    <w:rsid w:val="00B22F41"/>
    <w:rsid w:val="00B2315F"/>
    <w:rsid w:val="00B524D4"/>
    <w:rsid w:val="00B61FD5"/>
    <w:rsid w:val="00B7612C"/>
    <w:rsid w:val="00B768B5"/>
    <w:rsid w:val="00B960D9"/>
    <w:rsid w:val="00BA3B3A"/>
    <w:rsid w:val="00BB1087"/>
    <w:rsid w:val="00BB1477"/>
    <w:rsid w:val="00BC5729"/>
    <w:rsid w:val="00BD0629"/>
    <w:rsid w:val="00BD32EE"/>
    <w:rsid w:val="00BE0F0E"/>
    <w:rsid w:val="00C001E9"/>
    <w:rsid w:val="00C0069C"/>
    <w:rsid w:val="00C01FDF"/>
    <w:rsid w:val="00C02BEB"/>
    <w:rsid w:val="00C06C6D"/>
    <w:rsid w:val="00C12B4B"/>
    <w:rsid w:val="00C14BC5"/>
    <w:rsid w:val="00C4010A"/>
    <w:rsid w:val="00C502D1"/>
    <w:rsid w:val="00C66E7D"/>
    <w:rsid w:val="00C7510F"/>
    <w:rsid w:val="00C75C6F"/>
    <w:rsid w:val="00CA5301"/>
    <w:rsid w:val="00CC2436"/>
    <w:rsid w:val="00CC30EA"/>
    <w:rsid w:val="00CE15BD"/>
    <w:rsid w:val="00CF79A4"/>
    <w:rsid w:val="00D07B72"/>
    <w:rsid w:val="00D1142F"/>
    <w:rsid w:val="00D1773B"/>
    <w:rsid w:val="00D20D8C"/>
    <w:rsid w:val="00D20DAC"/>
    <w:rsid w:val="00D24F36"/>
    <w:rsid w:val="00D262B1"/>
    <w:rsid w:val="00D27701"/>
    <w:rsid w:val="00D34E71"/>
    <w:rsid w:val="00D4398E"/>
    <w:rsid w:val="00D51D78"/>
    <w:rsid w:val="00D727AB"/>
    <w:rsid w:val="00D82394"/>
    <w:rsid w:val="00D93E22"/>
    <w:rsid w:val="00DA38B3"/>
    <w:rsid w:val="00DA4D8D"/>
    <w:rsid w:val="00DB4E11"/>
    <w:rsid w:val="00DB63CF"/>
    <w:rsid w:val="00DC5AAE"/>
    <w:rsid w:val="00DE4EB5"/>
    <w:rsid w:val="00E14E8D"/>
    <w:rsid w:val="00E218B0"/>
    <w:rsid w:val="00E259DA"/>
    <w:rsid w:val="00E349CF"/>
    <w:rsid w:val="00E41691"/>
    <w:rsid w:val="00E42819"/>
    <w:rsid w:val="00E476AE"/>
    <w:rsid w:val="00E50051"/>
    <w:rsid w:val="00E5067A"/>
    <w:rsid w:val="00E607EE"/>
    <w:rsid w:val="00E65015"/>
    <w:rsid w:val="00E75208"/>
    <w:rsid w:val="00E84B3B"/>
    <w:rsid w:val="00EA273A"/>
    <w:rsid w:val="00EC344E"/>
    <w:rsid w:val="00ED10AA"/>
    <w:rsid w:val="00EE6112"/>
    <w:rsid w:val="00EF59AB"/>
    <w:rsid w:val="00EF7A62"/>
    <w:rsid w:val="00F14963"/>
    <w:rsid w:val="00F242B5"/>
    <w:rsid w:val="00F35406"/>
    <w:rsid w:val="00F71458"/>
    <w:rsid w:val="00F77D22"/>
    <w:rsid w:val="00F8754E"/>
    <w:rsid w:val="00FB4DC0"/>
    <w:rsid w:val="00FB7F62"/>
    <w:rsid w:val="00FF5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hapeDefaults>
    <o:shapedefaults v:ext="edit" spidmax="46081"/>
    <o:shapelayout v:ext="edit">
      <o:idmap v:ext="edit" data="1"/>
    </o:shapelayout>
  </w:shapeDefaults>
  <w:decimalSymbol w:val="."/>
  <w:listSeparator w:val=","/>
  <w14:docId w14:val="2489276B"/>
  <w15:docId w15:val="{E3626B76-9B93-457F-8CF1-4648552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ListParagraph">
    <w:name w:val="List Paragraph"/>
    <w:basedOn w:val="Normal"/>
    <w:uiPriority w:val="34"/>
    <w:qFormat/>
    <w:rsid w:val="003C5D7A"/>
    <w:pPr>
      <w:ind w:left="720"/>
      <w:contextualSpacing/>
    </w:pPr>
  </w:style>
  <w:style w:type="paragraph" w:styleId="Caption">
    <w:name w:val="caption"/>
    <w:basedOn w:val="Normal"/>
    <w:next w:val="Normal"/>
    <w:unhideWhenUsed/>
    <w:qFormat/>
    <w:rsid w:val="006F34DA"/>
    <w:pPr>
      <w:spacing w:after="200"/>
    </w:pPr>
    <w:rPr>
      <w:i/>
      <w:iCs/>
      <w:color w:val="1F497D" w:themeColor="text2"/>
      <w:sz w:val="18"/>
      <w:szCs w:val="18"/>
    </w:rPr>
  </w:style>
  <w:style w:type="character" w:customStyle="1" w:styleId="BodyText2Char">
    <w:name w:val="Body Text 2 Char"/>
    <w:basedOn w:val="DefaultParagraphFont"/>
    <w:link w:val="BodyText2"/>
    <w:rsid w:val="00DB63CF"/>
    <w:rPr>
      <w:sz w:val="22"/>
    </w:rPr>
  </w:style>
  <w:style w:type="character" w:styleId="FollowedHyperlink">
    <w:name w:val="FollowedHyperlink"/>
    <w:basedOn w:val="DefaultParagraphFont"/>
    <w:semiHidden/>
    <w:unhideWhenUsed/>
    <w:rsid w:val="00F8754E"/>
    <w:rPr>
      <w:color w:val="800080" w:themeColor="followedHyperlink"/>
      <w:u w:val="single"/>
    </w:rPr>
  </w:style>
  <w:style w:type="character" w:customStyle="1" w:styleId="BodyTextChar">
    <w:name w:val="Body Text Char"/>
    <w:aliases w:val="SCA Body Text Char,SCA Body Text1 Char,SCA Body Text2 Char,SCA Body Text11 Char,BodyText-JEA Char,BT-JEA Char"/>
    <w:basedOn w:val="DefaultParagraphFont"/>
    <w:link w:val="BodyText"/>
    <w:rsid w:val="00396B24"/>
    <w:rPr>
      <w:sz w:val="24"/>
    </w:rPr>
  </w:style>
  <w:style w:type="table" w:styleId="TableGrid">
    <w:name w:val="Table Grid"/>
    <w:basedOn w:val="TableNormal"/>
    <w:rsid w:val="000E3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6B5A8E"/>
  </w:style>
  <w:style w:type="character" w:customStyle="1" w:styleId="FootnoteTextChar">
    <w:name w:val="Footnote Text Char"/>
    <w:basedOn w:val="DefaultParagraphFont"/>
    <w:link w:val="FootnoteText"/>
    <w:semiHidden/>
    <w:rsid w:val="006B5A8E"/>
  </w:style>
  <w:style w:type="character" w:styleId="FootnoteReference">
    <w:name w:val="footnote reference"/>
    <w:basedOn w:val="DefaultParagraphFont"/>
    <w:semiHidden/>
    <w:unhideWhenUsed/>
    <w:rsid w:val="006B5A8E"/>
    <w:rPr>
      <w:vertAlign w:val="superscript"/>
    </w:rPr>
  </w:style>
  <w:style w:type="character" w:styleId="UnresolvedMention">
    <w:name w:val="Unresolved Mention"/>
    <w:basedOn w:val="DefaultParagraphFont"/>
    <w:uiPriority w:val="99"/>
    <w:semiHidden/>
    <w:unhideWhenUsed/>
    <w:rsid w:val="00820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81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pedms.dep.state.fl.us:443/Oculus/servlet/shell?command=getEntity&amp;%5bguid=75.176628.1%5d&amp;%5bprofile=Permitting_Authorization%5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awan.Subramaniam@dep.state.fl.u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lb.com/services/production/production-technologies-chemicals-treatments/cure-technologies/hydrogen-sufide-mercury-adsorbents/hydrogen-sulfide-removal-from-ga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CD118-91E4-40BE-A418-D89BA74C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4844</TotalTime>
  <Pages>8</Pages>
  <Words>2795</Words>
  <Characters>16122</Characters>
  <Application>Microsoft Office Word</Application>
  <DocSecurity>0</DocSecurity>
  <Lines>310</Lines>
  <Paragraphs>189</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84</cp:revision>
  <cp:lastPrinted>2009-02-12T15:11:00Z</cp:lastPrinted>
  <dcterms:created xsi:type="dcterms:W3CDTF">2014-08-20T18:33:00Z</dcterms:created>
  <dcterms:modified xsi:type="dcterms:W3CDTF">2018-08-02T14:40:00Z</dcterms:modified>
</cp:coreProperties>
</file>